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FD" w:rsidRDefault="001D43F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5"/>
        <w:gridCol w:w="1633"/>
        <w:gridCol w:w="1018"/>
        <w:gridCol w:w="782"/>
        <w:gridCol w:w="1710"/>
        <w:gridCol w:w="1800"/>
        <w:gridCol w:w="3438"/>
      </w:tblGrid>
      <w:tr w:rsidR="001D43FD" w:rsidRPr="005943F2" w:rsidTr="001D43FD"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81915</wp:posOffset>
                  </wp:positionV>
                  <wp:extent cx="994410" cy="92519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1" w:type="dxa"/>
            <w:gridSpan w:val="6"/>
          </w:tcPr>
          <w:p w:rsidR="001D43FD" w:rsidRPr="005943F2" w:rsidRDefault="001D43FD" w:rsidP="002022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43FD" w:rsidRPr="005943F2" w:rsidRDefault="001D43FD" w:rsidP="002022C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UNIVERSITAS BUMIGORA</w:t>
            </w:r>
          </w:p>
          <w:p w:rsidR="001D43FD" w:rsidRPr="005943F2" w:rsidRDefault="001D43FD" w:rsidP="002022C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FAKULTAS SOSIAL DAN HUMANIORA</w:t>
            </w:r>
          </w:p>
          <w:p w:rsidR="001D43FD" w:rsidRPr="005943F2" w:rsidRDefault="001D43FD" w:rsidP="002022C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PROGRAM STUDI S1 AKUNTANSI</w:t>
            </w:r>
          </w:p>
          <w:p w:rsidR="001D43FD" w:rsidRPr="005943F2" w:rsidRDefault="001D43FD" w:rsidP="002022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43FD" w:rsidRPr="005943F2" w:rsidTr="001D43FD">
        <w:tc>
          <w:tcPr>
            <w:tcW w:w="13176" w:type="dxa"/>
            <w:gridSpan w:val="7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RENCANA PEMBELAJARAN SEMESTER</w:t>
            </w:r>
          </w:p>
        </w:tc>
      </w:tr>
      <w:tr w:rsidR="001D43FD" w:rsidRPr="005943F2" w:rsidTr="00C03947"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Mata Kuliah</w:t>
            </w:r>
          </w:p>
        </w:tc>
        <w:tc>
          <w:tcPr>
            <w:tcW w:w="1633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KODE</w:t>
            </w:r>
          </w:p>
        </w:tc>
        <w:tc>
          <w:tcPr>
            <w:tcW w:w="1800" w:type="dxa"/>
            <w:gridSpan w:val="2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Rumpun MK:</w:t>
            </w:r>
          </w:p>
        </w:tc>
        <w:tc>
          <w:tcPr>
            <w:tcW w:w="1710" w:type="dxa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BOBOT (sks):</w:t>
            </w:r>
          </w:p>
        </w:tc>
        <w:tc>
          <w:tcPr>
            <w:tcW w:w="1800" w:type="dxa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3438" w:type="dxa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Tgl Penyusunan</w:t>
            </w:r>
          </w:p>
        </w:tc>
      </w:tr>
      <w:tr w:rsidR="001D43FD" w:rsidRPr="005943F2" w:rsidTr="00C03947">
        <w:trPr>
          <w:trHeight w:val="710"/>
        </w:trPr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Perpajakan </w:t>
            </w:r>
          </w:p>
        </w:tc>
        <w:tc>
          <w:tcPr>
            <w:tcW w:w="1633" w:type="dxa"/>
            <w:vAlign w:val="center"/>
          </w:tcPr>
          <w:p w:rsidR="001D43FD" w:rsidRPr="005943F2" w:rsidRDefault="00184B94" w:rsidP="002022C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ASKKB232</w:t>
            </w:r>
            <w:r w:rsidR="00CE0070">
              <w:rPr>
                <w:rFonts w:ascii="Times New Roman" w:eastAsia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1800" w:type="dxa"/>
            <w:gridSpan w:val="2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Mata KuliahWajib</w:t>
            </w:r>
          </w:p>
        </w:tc>
        <w:tc>
          <w:tcPr>
            <w:tcW w:w="1710" w:type="dxa"/>
          </w:tcPr>
          <w:p w:rsidR="001D43FD" w:rsidRPr="00CE0070" w:rsidRDefault="00CE0070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29 April 2019</w:t>
            </w:r>
          </w:p>
        </w:tc>
      </w:tr>
      <w:tr w:rsidR="001D43FD" w:rsidRPr="005943F2" w:rsidTr="002232B2">
        <w:tc>
          <w:tcPr>
            <w:tcW w:w="2795" w:type="dxa"/>
            <w:vMerge w:val="restart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OTORISASI</w:t>
            </w:r>
          </w:p>
        </w:tc>
        <w:tc>
          <w:tcPr>
            <w:tcW w:w="3433" w:type="dxa"/>
            <w:gridSpan w:val="3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DosenPengembang RPS</w:t>
            </w:r>
          </w:p>
        </w:tc>
        <w:tc>
          <w:tcPr>
            <w:tcW w:w="3510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Koordinator RMK</w:t>
            </w:r>
          </w:p>
        </w:tc>
        <w:tc>
          <w:tcPr>
            <w:tcW w:w="3438" w:type="dxa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Kaprodi</w:t>
            </w:r>
          </w:p>
        </w:tc>
      </w:tr>
      <w:tr w:rsidR="001D43FD" w:rsidRPr="005943F2" w:rsidTr="002232B2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TandaTangan</w:t>
            </w:r>
          </w:p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Dewa Ayu Oki Astarini, S.E, M.Ak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TandaTangan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TandaTangan</w:t>
            </w:r>
          </w:p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Dewa Ayu Oki Astarini, S.E, M.Ak</w:t>
            </w:r>
          </w:p>
        </w:tc>
      </w:tr>
      <w:tr w:rsidR="001D43FD" w:rsidRPr="005943F2" w:rsidTr="001D43FD">
        <w:tc>
          <w:tcPr>
            <w:tcW w:w="2795" w:type="dxa"/>
            <w:vMerge w:val="restart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CapaianPembelajaran (CP)</w:t>
            </w:r>
          </w:p>
        </w:tc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CPL-PRODI</w:t>
            </w:r>
          </w:p>
        </w:tc>
      </w:tr>
      <w:tr w:rsidR="00217323" w:rsidRPr="005943F2" w:rsidTr="001D43FD">
        <w:tc>
          <w:tcPr>
            <w:tcW w:w="2795" w:type="dxa"/>
            <w:vMerge/>
          </w:tcPr>
          <w:p w:rsidR="00217323" w:rsidRPr="005943F2" w:rsidRDefault="00217323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</w:tcBorders>
          </w:tcPr>
          <w:p w:rsidR="00217323" w:rsidRPr="005943F2" w:rsidRDefault="00217323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SK3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</w:tcBorders>
          </w:tcPr>
          <w:p w:rsidR="00217323" w:rsidRPr="005943F2" w:rsidRDefault="00217323" w:rsidP="002022C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Berkontribusi dalam peningkatan mutu kehidupan bermasyarakat, berbangsa, bernegara, dan kemajuan peradaban berdasarkan Pancasila;</w:t>
            </w:r>
          </w:p>
        </w:tc>
      </w:tr>
      <w:tr w:rsidR="00217323" w:rsidRPr="005943F2" w:rsidTr="001D43FD">
        <w:tc>
          <w:tcPr>
            <w:tcW w:w="2795" w:type="dxa"/>
            <w:vMerge/>
          </w:tcPr>
          <w:p w:rsidR="00217323" w:rsidRPr="005943F2" w:rsidRDefault="00217323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</w:tcBorders>
          </w:tcPr>
          <w:p w:rsidR="00217323" w:rsidRPr="005943F2" w:rsidRDefault="00217323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SK5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</w:tcBorders>
          </w:tcPr>
          <w:p w:rsidR="00217323" w:rsidRPr="005943F2" w:rsidRDefault="00217323" w:rsidP="002022C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Berperan sebagai warga negara yang bangga dan cinta tanah air, memiliki nasionalisme serta rasa tanggung jawab pada negara dan bangsa;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</w:tcBorders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17323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</w:tcBorders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 xml:space="preserve">Bekerja sama dan memiliki kepekaan sosial serta kepedulian terhadap </w:t>
            </w: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lastRenderedPageBreak/>
              <w:t>masyarakat dan lingkungan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17323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7730" w:type="dxa"/>
            <w:gridSpan w:val="4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Menunjukkan sikap bertanggung jawab atas pekerjaan di bidang keahlian masing-masing secara mandiri;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17323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7730" w:type="dxa"/>
            <w:gridSpan w:val="4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Memperlihatkan pemikiran, sikap, dan perilaku yang mencerminkan pribadi yang mengetahui tentang peran dan tanggung jawab seorang akuntan yang profesional, berintegritas, dan berkarakter.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17323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30" w:type="dxa"/>
            <w:gridSpan w:val="4"/>
          </w:tcPr>
          <w:p w:rsidR="001D43FD" w:rsidRPr="005943F2" w:rsidRDefault="00217323" w:rsidP="005943F2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Menguasai pengetahuan, yang diperlihatkan melalui kemampuan untuk menjelaskan dan mendiskusikan tentang pertauran perpajakan dan hukum bisnis s</w:t>
            </w:r>
            <w:r w:rsidRPr="005943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erta keterampilan dalam melakukan </w:t>
            </w:r>
            <w:r w:rsidR="00F90923" w:rsidRPr="005943F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pelaporan wajib pajak sesuai dengan peraturan yang berlaku.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F90923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KU1</w:t>
            </w:r>
          </w:p>
        </w:tc>
        <w:tc>
          <w:tcPr>
            <w:tcW w:w="7730" w:type="dxa"/>
            <w:gridSpan w:val="4"/>
          </w:tcPr>
          <w:p w:rsidR="001D43FD" w:rsidRPr="005943F2" w:rsidRDefault="00F90923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Mampu menerapkan pemikiran logis, kritis, sistematis, dan inovatif dalam konteks pengembangan atau implementasi Akuntansi yang  memperhatikan nilai-nilai kejelian, kepastian dan bermamfaat bagi para praktisi  dan masyarakat yang membetuhkan analisa akuntansi.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="00F90923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7730" w:type="dxa"/>
            <w:gridSpan w:val="4"/>
          </w:tcPr>
          <w:p w:rsidR="001D43FD" w:rsidRPr="005943F2" w:rsidRDefault="00F90923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Mampu menunjukkan kinerja mandiri, bermutu, dan terukur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="00F90923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7730" w:type="dxa"/>
            <w:gridSpan w:val="4"/>
          </w:tcPr>
          <w:p w:rsidR="001D43FD" w:rsidRPr="005943F2" w:rsidRDefault="00F90923" w:rsidP="002022C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Mampu mengambil keputusan secara tepat dalam konteks penyelesaian masalah di bidang hukum, berdasarkan hasil analisis, informasi, dan data</w:t>
            </w: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  <w:t>;</w:t>
            </w:r>
            <w:r w:rsidR="001D43FD"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;</w:t>
            </w:r>
          </w:p>
        </w:tc>
      </w:tr>
      <w:tr w:rsidR="00F90923" w:rsidRPr="005943F2" w:rsidTr="001D43FD">
        <w:tc>
          <w:tcPr>
            <w:tcW w:w="2795" w:type="dxa"/>
            <w:vMerge/>
          </w:tcPr>
          <w:p w:rsidR="00F90923" w:rsidRPr="005943F2" w:rsidRDefault="00F90923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F90923" w:rsidRPr="005943F2" w:rsidRDefault="00F90923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KU6</w:t>
            </w:r>
          </w:p>
        </w:tc>
        <w:tc>
          <w:tcPr>
            <w:tcW w:w="7730" w:type="dxa"/>
            <w:gridSpan w:val="4"/>
          </w:tcPr>
          <w:p w:rsidR="00F90923" w:rsidRPr="005943F2" w:rsidRDefault="00F90923" w:rsidP="005943F2">
            <w:pPr>
              <w:autoSpaceDE w:val="0"/>
              <w:autoSpaceDN w:val="0"/>
              <w:adjustRightInd w:val="0"/>
              <w:spacing w:after="0" w:line="240" w:lineRule="auto"/>
              <w:ind w:left="44" w:right="187"/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>Mampu bertanggungjawab atas pencapaian hasil kerja kelompok dan melakukan supervisi dan evaluasi terhadap penyelesaian pekerjaan yang ditugaskan kepada anggota kelompok yang berada di bawah tanggung jawab yang diemban.</w:t>
            </w:r>
          </w:p>
        </w:tc>
      </w:tr>
      <w:tr w:rsidR="001D43FD" w:rsidRPr="005943F2" w:rsidTr="005943F2">
        <w:trPr>
          <w:trHeight w:val="890"/>
        </w:trPr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KK1</w:t>
            </w:r>
          </w:p>
        </w:tc>
        <w:tc>
          <w:tcPr>
            <w:tcW w:w="7730" w:type="dxa"/>
            <w:gridSpan w:val="4"/>
          </w:tcPr>
          <w:p w:rsidR="001D43FD" w:rsidRPr="005943F2" w:rsidRDefault="001D43FD" w:rsidP="005943F2">
            <w:pPr>
              <w:pStyle w:val="ListParagraph"/>
              <w:spacing w:after="0" w:line="240" w:lineRule="auto"/>
              <w:ind w:left="0" w:right="9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 xml:space="preserve">Menguasai konsep praktis bidang Akuntansi sesuai dengan keahlian akuntansi khusus yang menjadi pilihannya secara mendalam. </w:t>
            </w:r>
            <w:r w:rsidR="00F90923" w:rsidRPr="005943F2"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  <w:t xml:space="preserve">Keahlian dalam bidang akuntansi khusus yang dimaksud terdiri dari ketrampilan dalam </w:t>
            </w:r>
            <w:r w:rsidR="00F90923" w:rsidRPr="005943F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laporan kewajiban perpajakan baik untuk wajib pajak individu maupun badan dengan cara menghitung dan melakukan rekonsiliasi perpajakan sesuai perundang-undangan perpajakan yang berlaku di Indonesia</w:t>
            </w:r>
          </w:p>
        </w:tc>
      </w:tr>
      <w:tr w:rsidR="00F90923" w:rsidRPr="005943F2" w:rsidTr="001D43FD">
        <w:tc>
          <w:tcPr>
            <w:tcW w:w="2795" w:type="dxa"/>
            <w:vMerge/>
          </w:tcPr>
          <w:p w:rsidR="00F90923" w:rsidRPr="005943F2" w:rsidRDefault="00F90923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F90923" w:rsidRPr="005943F2" w:rsidRDefault="00D42243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KK3</w:t>
            </w:r>
          </w:p>
        </w:tc>
        <w:tc>
          <w:tcPr>
            <w:tcW w:w="7730" w:type="dxa"/>
            <w:gridSpan w:val="4"/>
          </w:tcPr>
          <w:p w:rsidR="00F90923" w:rsidRPr="005943F2" w:rsidRDefault="00F90923" w:rsidP="002022CE">
            <w:pPr>
              <w:pStyle w:val="ListParagraph"/>
              <w:spacing w:after="0" w:line="240" w:lineRule="auto"/>
              <w:ind w:left="0" w:right="90"/>
              <w:rPr>
                <w:rFonts w:asciiTheme="minorHAnsi" w:hAnsiTheme="minorHAnsi" w:cstheme="minorHAnsi"/>
                <w:bCs/>
                <w:sz w:val="24"/>
                <w:szCs w:val="24"/>
                <w:lang w:val="en-GB" w:eastAsia="en-GB"/>
              </w:rPr>
            </w:pP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Mampu memanfaatkan teknologi informasi untuk menyelesaikan tugas tertentu, permasalahan umum dan  permasalahan yang tidak terduga pada bidang kerja yang menyangkut akuntansi, dalam hal ini adalah pelaporan pajak menggunakan </w:t>
            </w:r>
            <w:r w:rsidRPr="005943F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>e-filling, e-faktur</w:t>
            </w:r>
            <w:r w:rsidRPr="005943F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dan </w:t>
            </w:r>
            <w:r w:rsidRPr="005943F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>e- billing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81" w:type="dxa"/>
            <w:gridSpan w:val="6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CPMK 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1D43FD" w:rsidRPr="005943F2" w:rsidRDefault="001D43FD" w:rsidP="002022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CPMK</w:t>
            </w:r>
            <w:r w:rsidR="00B04157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730" w:type="dxa"/>
            <w:gridSpan w:val="4"/>
          </w:tcPr>
          <w:p w:rsidR="001D43FD" w:rsidRPr="005943F2" w:rsidRDefault="00B04157" w:rsidP="002022C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mpu me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ns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 d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tur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rp</w:t>
            </w:r>
            <w:r w:rsidRPr="005943F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k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 d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hukum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bisn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 d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 p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943F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a s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rta m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mah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k,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nksi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bidang</w:t>
            </w:r>
            <w:r w:rsidRPr="005943F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p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jak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n mampu me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5943F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usun 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SP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T s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eca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manu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l 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m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upun k</w:t>
            </w:r>
            <w:r w:rsidRPr="005943F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mpu</w:t>
            </w:r>
            <w:r w:rsidRPr="005943F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ris</w:t>
            </w:r>
            <w:r w:rsidRPr="005943F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5943F2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(SK3, SK5, SK8, SK 10, SK11, PP1, KU1)</w:t>
            </w:r>
          </w:p>
        </w:tc>
      </w:tr>
      <w:tr w:rsidR="00B04157" w:rsidRPr="005943F2" w:rsidTr="00B04157">
        <w:trPr>
          <w:trHeight w:val="890"/>
        </w:trPr>
        <w:tc>
          <w:tcPr>
            <w:tcW w:w="2795" w:type="dxa"/>
            <w:vMerge/>
          </w:tcPr>
          <w:p w:rsidR="00B04157" w:rsidRPr="005943F2" w:rsidRDefault="00B04157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B04157" w:rsidRPr="005943F2" w:rsidRDefault="00B04157" w:rsidP="00B041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CPMK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730" w:type="dxa"/>
            <w:gridSpan w:val="4"/>
          </w:tcPr>
          <w:p w:rsidR="005943F2" w:rsidRPr="005943F2" w:rsidRDefault="00B04157" w:rsidP="002022CE">
            <w:pPr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Mampu secara mandiri menyusun laporan kewajiban perpajakan baik untuk wajib pajak individu maupun badan dengan cara menghitung dan melakukan rekonsiliasi perpajakan sesuai perundang-undangan perpajakan yang berlaku di Indonesia</w:t>
            </w:r>
            <w:r w:rsidRPr="005943F2"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  <w:t>.</w:t>
            </w:r>
            <w:r w:rsidR="005943F2" w:rsidRPr="005943F2"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="005943F2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(SK3, SK5, SK8, SK 10, SK11, PP1, KU1, KU2, KU4, KU6, KK3)</w:t>
            </w:r>
          </w:p>
        </w:tc>
      </w:tr>
      <w:tr w:rsidR="001D43FD" w:rsidRPr="005943F2" w:rsidTr="005943F2">
        <w:trPr>
          <w:trHeight w:val="1133"/>
        </w:trPr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Deskrip</w:t>
            </w:r>
            <w:r w:rsidR="003C4E9C" w:rsidRPr="005943F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si </w:t>
            </w: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Singkat MK</w:t>
            </w:r>
          </w:p>
        </w:tc>
        <w:tc>
          <w:tcPr>
            <w:tcW w:w="10381" w:type="dxa"/>
            <w:gridSpan w:val="6"/>
          </w:tcPr>
          <w:p w:rsidR="001D43FD" w:rsidRPr="005943F2" w:rsidRDefault="001D43FD" w:rsidP="005943F2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Pada mata kuliah ini mahasiswa belajar tentang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peraturan perpajakan nasional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Mahasiswa belajar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konsep perhitungan pajak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penghasilan yang dipotong/dipungut oleh pihak lain dan dibayar sendiri, maupun pajak pertambahan nilai, pajak bumi dan bangunan, bea perolehan hak atas tanah dan bangunan dan bea meterai. Mahasiswa belajar untuk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menganalisis isu-isu perpajakan secara umum</w:t>
            </w:r>
            <w:r w:rsidR="005943F2"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43FD" w:rsidRPr="005943F2" w:rsidTr="001D43FD"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MateriPembelajaran/PokokBahasan</w:t>
            </w:r>
          </w:p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81" w:type="dxa"/>
            <w:gridSpan w:val="6"/>
          </w:tcPr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Pengertian Pajak dan Fungsi Pajak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Sistem Pengenaan dan Pemungutan Pajak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Penggolongan Pajak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Pengertian Wajib Pajak, Masa Pajak dan Tahun Pajak, Kewajiban dan Hak Wajib Pajak, Tata Cara Pendaftaran Wajib Pajak, Pembayaran Pajak, , Kewajiban  melaporkan Pajak dan Tata cara Pelaporan Pajak, Sanksi Pajak, apabila melanggar kewajiban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Pengertian Subyek dan Wajib Pajak Penghasilan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Objek dan Non Objek PPh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Pengurangan yang dibolehkan dan yang tidak diperbolehkan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Perhitungan PPh dengan tarif umum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Norma Penghitungan PPh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Perbedaan Subyek, non Subyek, Pemotong dan bukan Pemotong, dan Obyek, non Obyek PPh 21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Mekanisme Pemotongan PPh 21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Perhitungan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PPh 21 untuk karyawan tetap yang menerima gaji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atau penghasilan secara teratur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dan K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asus perhitungan PPh 21 untuk karyawan tetap yang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menerima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penghasilan secara teratur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PPh 21 untuk karyawan tetap yang menerima gaji dan bonus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PPh 21 untuk karyawan tetap yang bekerja tidak setahun penuh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PPh 21 untuk karyawati yang menerima gaji dan bonus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PPh 21 untuk karyawati yang bekerja tidak setahun penuh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dan Kasus PPh 21 karyawan tetap/karyawati yang menerima gaji bonus dan yang bekerja tidak setahun penuh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PPh 21 untuk karyawan/karyawati yang menerima honorarium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PPh 21 karyawan/karyawati yang menerima hadia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penghargaan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PPh 21 untuk karyawan/karyawati dengan status WP Luar Negeri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dan Kasus PPh 21 karyawan tetap/karyawati yang menerima honorarium, hadiah penghargaan dan karyawan status WP Luar Negeri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Pemungut, obyek dan non obyek PPh 22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Mekanisme pemungutan PPh 22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, K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asus Perhitungan PPh 22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Pajak atas penghasilan yang diterima WP dari Luar Negeri, Batas Maksimum Kredit Pajak Luar Negeri dan Kasus Perhitungan PPh 24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Pemotong, obyek dan non obyek PPh 23/26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Mekanisme pemungutan PPh 23/26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5943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Perhitungan PPh 23/26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Mekanisme angsuran PPh 25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Perbedaan antara PPh final dan tidak final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Perhitungan PPh final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dan Pengisian SPT PPh WP Orang Pribadi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Karakteristik PPN dan PPnBM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Mekanisme Kredit Pajak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Faktur Pajak dan Saat Pembuatan Faktur Pajak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Pajak Masukan dan Pajak Keluaran, Pajak Masukan yang dapat dikreditkan dan yang tidak dapat dikreditkan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Menjelaskan Dasar Pengenaan PPN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Menjelaskan cara perhitungan PPN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dan Memberikan contoh kasus perhitungan PPN dan PPnBM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engalihan PBB dari pajak pusat menjadi pajak daera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h, S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ubyek dan pengecualian subyek PBB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O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byek dan pengecualian obyek PBB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T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arif PBB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dan Cara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perhitungan PBB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dan K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asus perhitungan PBB</w:t>
            </w:r>
          </w:p>
          <w:p w:rsidR="001D43FD" w:rsidRPr="005943F2" w:rsidRDefault="001D43FD" w:rsidP="001D43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Subyek, obyek dan Tarif BPHT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B, P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engalihan BPHTB dari pajak pusat menjadi pajak daera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 dan Kasus P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erhitungan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BPHTB</w:t>
            </w:r>
          </w:p>
          <w:p w:rsidR="001D43FD" w:rsidRPr="005943F2" w:rsidRDefault="001D43FD" w:rsidP="001D43FD">
            <w:pPr>
              <w:pStyle w:val="BodyTextInden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Dokumen yang dikenakan bea meterai dan pengecualiannya, Saat terutangnya bea meterai dan Kasus perhitungan Bea Meterai</w:t>
            </w:r>
          </w:p>
          <w:p w:rsidR="001D43FD" w:rsidRPr="005943F2" w:rsidRDefault="001D43FD" w:rsidP="001D43FD">
            <w:pPr>
              <w:pStyle w:val="ListParagraph"/>
              <w:spacing w:after="0" w:line="240" w:lineRule="auto"/>
              <w:ind w:left="31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43FD" w:rsidRPr="005943F2" w:rsidTr="001D43FD">
        <w:tc>
          <w:tcPr>
            <w:tcW w:w="2795" w:type="dxa"/>
            <w:vMerge w:val="restart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Pustaka</w:t>
            </w:r>
          </w:p>
        </w:tc>
        <w:tc>
          <w:tcPr>
            <w:tcW w:w="10381" w:type="dxa"/>
            <w:gridSpan w:val="6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Utama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81" w:type="dxa"/>
            <w:gridSpan w:val="6"/>
          </w:tcPr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Siti Resmi, Perpajakan teori dan Kasus, Buku 1,  Edisi Revisi, Salemba Empat, Jakarta , 2014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Waluyo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Perpajakan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Indonesia,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Buku 1,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Edisi Revisi, Salemba Empat, Jakarta, 2014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Siti Resmi, Perpajakan teori dan Kasus, Buku 2,  Edisi Revisi, Salemba Empat, Jakarta , 2014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Waluyo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Perpajakan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 xml:space="preserve"> Indonesia,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Buku 2, </w:t>
            </w: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Edisi Revisi, Salemba Empat, Jakarta, 2014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UU no. 28 Tahun 2007 sebagai hasil penyempurnaan UU no 6 tahun 1983 tentang Ketentuan Umum dan Tata Cara Perpajakan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UU no. 36 Tahun 2008 sebagai hasil penyempurnaan UU no 7 tahun 1983 tentang Pajak penghasilan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UU no 42 tahun 2009 sebagai hasil penyempurnaan UU no 8 tahun 1983 tentang Pajak Pertambahan  Nilai</w:t>
            </w:r>
          </w:p>
          <w:p w:rsidR="002232B2" w:rsidRPr="005943F2" w:rsidRDefault="002232B2" w:rsidP="002232B2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UU no 28 tahun 2009  tentang Pajak Dan Retribusi Daerah</w:t>
            </w:r>
          </w:p>
          <w:p w:rsidR="001D43FD" w:rsidRPr="005943F2" w:rsidRDefault="001D43FD" w:rsidP="002022CE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81" w:type="dxa"/>
            <w:gridSpan w:val="6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Pendukung</w:t>
            </w:r>
          </w:p>
        </w:tc>
      </w:tr>
      <w:tr w:rsidR="001D43FD" w:rsidRPr="005943F2" w:rsidTr="001D43FD">
        <w:tc>
          <w:tcPr>
            <w:tcW w:w="2795" w:type="dxa"/>
            <w:vMerge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81" w:type="dxa"/>
            <w:gridSpan w:val="6"/>
          </w:tcPr>
          <w:p w:rsidR="001D43FD" w:rsidRPr="005943F2" w:rsidRDefault="001D43FD" w:rsidP="001D43FD">
            <w:pPr>
              <w:rPr>
                <w:rFonts w:asciiTheme="minorHAnsi" w:hAnsiTheme="minorHAnsi" w:cstheme="minorHAnsi"/>
                <w:sz w:val="24"/>
                <w:szCs w:val="24"/>
                <w:lang w:val="en-ID"/>
              </w:rPr>
            </w:pPr>
          </w:p>
          <w:p w:rsidR="001D43FD" w:rsidRPr="005943F2" w:rsidRDefault="002232B2" w:rsidP="002022CE">
            <w:pPr>
              <w:pStyle w:val="ListParagraph1"/>
              <w:spacing w:after="0" w:line="360" w:lineRule="auto"/>
              <w:ind w:left="446"/>
              <w:rPr>
                <w:rFonts w:asciiTheme="minorHAnsi" w:hAnsiTheme="minorHAnsi" w:cstheme="minorHAnsi"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</w:rPr>
              <w:t>Per 31/PJ/2012 tentang Petunjuk Perhitungan dan Pemotongan PPh 21</w:t>
            </w:r>
          </w:p>
        </w:tc>
      </w:tr>
      <w:tr w:rsidR="001D43FD" w:rsidRPr="005943F2" w:rsidTr="001D43FD">
        <w:trPr>
          <w:trHeight w:val="440"/>
        </w:trPr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Media Pembelajaran</w:t>
            </w:r>
          </w:p>
        </w:tc>
        <w:tc>
          <w:tcPr>
            <w:tcW w:w="10381" w:type="dxa"/>
            <w:gridSpan w:val="6"/>
          </w:tcPr>
          <w:p w:rsidR="001D43FD" w:rsidRPr="005943F2" w:rsidRDefault="002232B2" w:rsidP="002022C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Perangkat</w:t>
            </w:r>
            <w:r w:rsidRPr="005943F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Lunak:  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e-SPT</w:t>
            </w:r>
          </w:p>
          <w:p w:rsidR="002232B2" w:rsidRPr="005943F2" w:rsidRDefault="002232B2" w:rsidP="002022CE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Perangkat Keras:</w:t>
            </w: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Laptop dan LCD</w:t>
            </w:r>
          </w:p>
          <w:p w:rsidR="002232B2" w:rsidRPr="005943F2" w:rsidRDefault="002232B2" w:rsidP="002022CE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1D43FD" w:rsidRPr="005943F2" w:rsidTr="001D43FD">
        <w:trPr>
          <w:trHeight w:val="539"/>
        </w:trPr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Team Teaching</w:t>
            </w:r>
          </w:p>
        </w:tc>
        <w:tc>
          <w:tcPr>
            <w:tcW w:w="10381" w:type="dxa"/>
            <w:gridSpan w:val="6"/>
          </w:tcPr>
          <w:p w:rsidR="001D43FD" w:rsidRPr="005943F2" w:rsidRDefault="001D43FD" w:rsidP="002022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43FD" w:rsidRPr="005943F2" w:rsidTr="001D43FD">
        <w:tc>
          <w:tcPr>
            <w:tcW w:w="2795" w:type="dxa"/>
          </w:tcPr>
          <w:p w:rsidR="001D43FD" w:rsidRPr="005943F2" w:rsidRDefault="001D43FD" w:rsidP="00202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3F2">
              <w:rPr>
                <w:rFonts w:asciiTheme="minorHAnsi" w:hAnsiTheme="minorHAnsi" w:cstheme="minorHAnsi"/>
                <w:b/>
                <w:sz w:val="24"/>
                <w:szCs w:val="24"/>
              </w:rPr>
              <w:t>Mata KuliahSyarat</w:t>
            </w:r>
          </w:p>
        </w:tc>
        <w:tc>
          <w:tcPr>
            <w:tcW w:w="10381" w:type="dxa"/>
            <w:gridSpan w:val="6"/>
          </w:tcPr>
          <w:p w:rsidR="001D43FD" w:rsidRPr="005943F2" w:rsidRDefault="002232B2" w:rsidP="002022C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43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Hukum Perpajakan</w:t>
            </w:r>
          </w:p>
        </w:tc>
      </w:tr>
    </w:tbl>
    <w:p w:rsidR="001D43FD" w:rsidRPr="001D43FD" w:rsidRDefault="001D43FD">
      <w:pPr>
        <w:rPr>
          <w:lang w:val="en-US"/>
        </w:rPr>
      </w:pPr>
    </w:p>
    <w:tbl>
      <w:tblPr>
        <w:tblpPr w:leftFromText="180" w:rightFromText="180" w:vertAnchor="page" w:horzAnchor="margin" w:tblpXSpec="center" w:tblpY="2266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700"/>
        <w:gridCol w:w="2070"/>
        <w:gridCol w:w="1980"/>
        <w:gridCol w:w="2520"/>
        <w:gridCol w:w="2520"/>
        <w:gridCol w:w="1170"/>
      </w:tblGrid>
      <w:tr w:rsidR="001D43FD" w:rsidRPr="00DB759A" w:rsidTr="001D43FD">
        <w:trPr>
          <w:trHeight w:val="1430"/>
        </w:trPr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fi-FI"/>
              </w:rPr>
            </w:pPr>
            <w:r w:rsidRPr="00150DFE">
              <w:rPr>
                <w:rFonts w:cs="Calibri"/>
                <w:b/>
                <w:sz w:val="24"/>
                <w:szCs w:val="24"/>
                <w:lang w:val="fi-FI"/>
              </w:rPr>
              <w:lastRenderedPageBreak/>
              <w:t xml:space="preserve">Minggu </w:t>
            </w:r>
          </w:p>
          <w:p w:rsidR="001D43FD" w:rsidRPr="00150DFE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fi-FI"/>
              </w:rPr>
            </w:pPr>
            <w:r w:rsidRPr="00150DFE">
              <w:rPr>
                <w:rFonts w:cs="Calibri"/>
                <w:b/>
                <w:sz w:val="24"/>
                <w:szCs w:val="24"/>
                <w:lang w:val="fi-FI"/>
              </w:rPr>
              <w:t xml:space="preserve">ke 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fi-FI"/>
              </w:rPr>
            </w:pPr>
            <w:r w:rsidRPr="00150DFE">
              <w:rPr>
                <w:rFonts w:cs="Calibri"/>
                <w:b/>
                <w:sz w:val="24"/>
                <w:szCs w:val="24"/>
                <w:lang w:val="fi-FI"/>
              </w:rPr>
              <w:t>Kemampuan akhir yang diharapakan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1D43FD" w:rsidRPr="00CE2F35" w:rsidRDefault="00386740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Indikator 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 xml:space="preserve">Kriteria </w:t>
            </w:r>
          </w:p>
          <w:p w:rsidR="001D43FD" w:rsidRPr="00150DFE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 xml:space="preserve">Dan </w:t>
            </w:r>
          </w:p>
          <w:p w:rsidR="001D43FD" w:rsidRPr="00150DFE" w:rsidRDefault="001D43FD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Bentuk Penilaian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1D43FD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1D43FD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Metode Pembelajaran (Estimasi Waktu)</w:t>
            </w:r>
          </w:p>
          <w:p w:rsidR="001D43FD" w:rsidRPr="00150DFE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fi-FI"/>
              </w:rPr>
            </w:pPr>
            <w:r>
              <w:rPr>
                <w:rFonts w:cs="Calibri"/>
                <w:b/>
                <w:sz w:val="24"/>
                <w:szCs w:val="24"/>
                <w:lang w:val="fi-FI"/>
              </w:rPr>
              <w:t xml:space="preserve">Bahan Kajian 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after="0"/>
              <w:ind w:left="-109" w:right="-105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Bobot Penilaian</w:t>
            </w:r>
          </w:p>
          <w:p w:rsidR="001D43FD" w:rsidRPr="00150DFE" w:rsidRDefault="001D43FD" w:rsidP="001D43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fi-FI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(%)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D43FD" w:rsidRPr="00150DFE" w:rsidRDefault="001D43FD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1D43FD" w:rsidRPr="00FC5C6B" w:rsidRDefault="00FC5C6B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1D43FD" w:rsidRPr="00FC5C6B" w:rsidRDefault="00FC5C6B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1D43FD" w:rsidRPr="00FC5C6B" w:rsidRDefault="00FC5C6B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1D43FD" w:rsidRPr="00150DFE" w:rsidRDefault="00FC5C6B" w:rsidP="001D43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  <w:lang w:val="fi-FI"/>
              </w:rPr>
            </w:pPr>
            <w:r>
              <w:rPr>
                <w:rFonts w:cs="Calibri"/>
                <w:b/>
                <w:sz w:val="24"/>
                <w:szCs w:val="24"/>
                <w:lang w:val="fi-FI"/>
              </w:rPr>
              <w:t>6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1D43FD" w:rsidRPr="00150DFE" w:rsidRDefault="001D43FD" w:rsidP="001D43FD">
            <w:pPr>
              <w:ind w:left="-109" w:right="-105"/>
              <w:jc w:val="center"/>
              <w:rPr>
                <w:rFonts w:cs="Calibri"/>
                <w:b/>
                <w:sz w:val="24"/>
                <w:szCs w:val="24"/>
              </w:rPr>
            </w:pPr>
            <w:r w:rsidRPr="00150DFE">
              <w:rPr>
                <w:rFonts w:cs="Calibri"/>
                <w:b/>
                <w:sz w:val="24"/>
                <w:szCs w:val="24"/>
              </w:rPr>
              <w:t>7</w:t>
            </w:r>
          </w:p>
        </w:tc>
      </w:tr>
      <w:tr w:rsidR="00FC5C6B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FC5C6B" w:rsidRPr="00FC5C6B" w:rsidRDefault="00FC5C6B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C5C6B" w:rsidRDefault="00FC5C6B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 w:rsidRPr="00B155DA">
              <w:rPr>
                <w:rFonts w:cs="Calibri"/>
                <w:sz w:val="24"/>
                <w:szCs w:val="24"/>
              </w:rPr>
              <w:t>Mahasiswa memahami panduan mata kuliah, referensi, materi dan hasil pembalajaran yang diharapkan</w:t>
            </w:r>
          </w:p>
        </w:tc>
        <w:tc>
          <w:tcPr>
            <w:tcW w:w="2070" w:type="dxa"/>
          </w:tcPr>
          <w:p w:rsidR="00386740" w:rsidRDefault="00386740" w:rsidP="003867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rPr>
                <w:rFonts w:cs="Calibri"/>
                <w:sz w:val="24"/>
                <w:szCs w:val="24"/>
                <w:lang w:val="sv-SE"/>
              </w:rPr>
            </w:pPr>
            <w:r w:rsidRPr="00B155DA">
              <w:rPr>
                <w:rFonts w:cs="Calibri"/>
                <w:sz w:val="24"/>
                <w:szCs w:val="24"/>
                <w:lang w:val="sv-SE"/>
              </w:rPr>
              <w:t>Mahasiswa memahami panduan mata kuliah, referensi, materi dan hasil pembelajaran dari mata kuliah.</w:t>
            </w:r>
          </w:p>
          <w:p w:rsidR="00FC5C6B" w:rsidRPr="00386740" w:rsidRDefault="00386740" w:rsidP="003867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rPr>
                <w:rFonts w:cs="Calibri"/>
                <w:sz w:val="24"/>
                <w:szCs w:val="24"/>
                <w:lang w:val="sv-SE"/>
              </w:rPr>
            </w:pPr>
            <w:r w:rsidRPr="00386740">
              <w:rPr>
                <w:rFonts w:cs="Calibri"/>
                <w:sz w:val="24"/>
                <w:szCs w:val="24"/>
                <w:lang w:val="sv-SE"/>
              </w:rPr>
              <w:t>Mahasiswa memahami gambaran umum mata kuliah dan kemudian membagi kelompok presentasi</w:t>
            </w:r>
          </w:p>
        </w:tc>
        <w:tc>
          <w:tcPr>
            <w:tcW w:w="1980" w:type="dxa"/>
          </w:tcPr>
          <w:p w:rsidR="00386740" w:rsidRPr="00B155DA" w:rsidRDefault="00386740" w:rsidP="00386740">
            <w:pPr>
              <w:autoSpaceDE w:val="0"/>
              <w:autoSpaceDN w:val="0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155DA">
              <w:rPr>
                <w:rFonts w:eastAsia="Times New Roman" w:cs="Calibri"/>
                <w:b/>
                <w:color w:val="000000"/>
                <w:sz w:val="24"/>
                <w:szCs w:val="24"/>
              </w:rPr>
              <w:t>Kriteria</w:t>
            </w: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>:</w:t>
            </w:r>
          </w:p>
          <w:p w:rsidR="00386740" w:rsidRPr="00B155DA" w:rsidRDefault="00386740" w:rsidP="00386740">
            <w:pPr>
              <w:autoSpaceDE w:val="0"/>
              <w:autoSpaceDN w:val="0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>Menentukan materi untuk tugas kelompok.</w:t>
            </w:r>
          </w:p>
          <w:p w:rsidR="00FC5C6B" w:rsidRPr="00DB759A" w:rsidRDefault="00FC5C6B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20" w:type="dxa"/>
          </w:tcPr>
          <w:p w:rsidR="00386740" w:rsidRPr="00B155DA" w:rsidRDefault="00386740" w:rsidP="00386740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155DA">
              <w:rPr>
                <w:rFonts w:eastAsia="Times New Roman" w:cs="Calibri"/>
                <w:b/>
                <w:color w:val="000000"/>
                <w:sz w:val="24"/>
                <w:szCs w:val="24"/>
              </w:rPr>
              <w:t>Bentuk</w:t>
            </w: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 xml:space="preserve">: </w:t>
            </w:r>
          </w:p>
          <w:p w:rsidR="00386740" w:rsidRPr="00B155DA" w:rsidRDefault="00386740" w:rsidP="00386740">
            <w:pPr>
              <w:autoSpaceDE w:val="0"/>
              <w:autoSpaceDN w:val="0"/>
              <w:spacing w:line="252" w:lineRule="auto"/>
              <w:ind w:left="177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>Kuliah</w:t>
            </w:r>
          </w:p>
          <w:p w:rsidR="00386740" w:rsidRPr="00B155DA" w:rsidRDefault="00386740" w:rsidP="00386740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155DA">
              <w:rPr>
                <w:rFonts w:eastAsia="Times New Roman" w:cs="Calibri"/>
                <w:b/>
                <w:color w:val="000000"/>
                <w:sz w:val="24"/>
                <w:szCs w:val="24"/>
              </w:rPr>
              <w:t>Metode</w:t>
            </w: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>:</w:t>
            </w:r>
          </w:p>
          <w:p w:rsidR="00386740" w:rsidRPr="00B155DA" w:rsidRDefault="00386740" w:rsidP="00386740">
            <w:pPr>
              <w:autoSpaceDE w:val="0"/>
              <w:autoSpaceDN w:val="0"/>
              <w:spacing w:line="252" w:lineRule="auto"/>
              <w:ind w:left="177"/>
              <w:rPr>
                <w:rFonts w:eastAsia="Times New Roman" w:cs="Calibri"/>
                <w:color w:val="000000"/>
                <w:sz w:val="24"/>
                <w:szCs w:val="24"/>
                <w:highlight w:val="yellow"/>
              </w:rPr>
            </w:pP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>Project Based Learning (PBL)</w:t>
            </w:r>
          </w:p>
          <w:p w:rsidR="00386740" w:rsidRPr="00B155DA" w:rsidRDefault="00386740" w:rsidP="00386740">
            <w:pPr>
              <w:autoSpaceDE w:val="0"/>
              <w:autoSpaceDN w:val="0"/>
              <w:spacing w:line="252" w:lineRule="auto"/>
              <w:ind w:hanging="108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155DA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B155DA">
              <w:rPr>
                <w:rFonts w:eastAsia="Times New Roman" w:cs="Calibri"/>
                <w:b/>
                <w:color w:val="000000"/>
                <w:sz w:val="24"/>
                <w:szCs w:val="24"/>
              </w:rPr>
              <w:t>TM: 1x(2x50”)</w:t>
            </w:r>
          </w:p>
          <w:p w:rsidR="00FC5C6B" w:rsidRPr="00DB759A" w:rsidRDefault="00FC5C6B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color w:val="000000"/>
              </w:rPr>
            </w:pPr>
          </w:p>
        </w:tc>
        <w:tc>
          <w:tcPr>
            <w:tcW w:w="2520" w:type="dxa"/>
          </w:tcPr>
          <w:p w:rsidR="00FC5C6B" w:rsidRPr="003421E1" w:rsidRDefault="00386740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B155DA">
              <w:rPr>
                <w:rFonts w:cs="Calibri"/>
                <w:b/>
                <w:sz w:val="24"/>
                <w:szCs w:val="24"/>
                <w:lang w:val="sv-SE"/>
              </w:rPr>
              <w:t>RPS</w:t>
            </w:r>
          </w:p>
        </w:tc>
        <w:tc>
          <w:tcPr>
            <w:tcW w:w="1170" w:type="dxa"/>
            <w:shd w:val="clear" w:color="auto" w:fill="auto"/>
          </w:tcPr>
          <w:p w:rsidR="00FC5C6B" w:rsidRDefault="00386740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d-ID"/>
              </w:rPr>
              <w:t>-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Pr="00FC5C6B" w:rsidRDefault="00FC5C6B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1D43FD" w:rsidRPr="00B862EF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Mampu menjelaskan </w:t>
            </w:r>
            <w:r w:rsidRPr="003421E1">
              <w:rPr>
                <w:rFonts w:ascii="Candara" w:hAnsi="Candara"/>
                <w:sz w:val="20"/>
                <w:szCs w:val="20"/>
              </w:rPr>
              <w:t>pengertian pajak, fungsi pajak, sistem pemungutan pajak, asas pengenaan pajak yang termasu</w:t>
            </w:r>
            <w:r>
              <w:rPr>
                <w:rFonts w:ascii="Candara" w:hAnsi="Candara"/>
                <w:sz w:val="20"/>
                <w:szCs w:val="20"/>
              </w:rPr>
              <w:t>k dalam Dasar-dasar Perpajakan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>Ketepatan menjelaskan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 Dasar-dasar Perpajakan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Ketepatan dan kesesuaian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175" w:hanging="175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>Tulisan makalah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lastRenderedPageBreak/>
              <w:t xml:space="preserve"> </w:t>
            </w:r>
            <w:r w:rsidRPr="00DB759A">
              <w:rPr>
                <w:rFonts w:eastAsia="Times New Roman"/>
                <w:color w:val="000000"/>
                <w:lang w:val="en-US"/>
              </w:rPr>
              <w:t xml:space="preserve">Bentuk: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Diskusi kelompo</w:t>
            </w:r>
            <w:r>
              <w:rPr>
                <w:rFonts w:eastAsia="Times New Roman"/>
                <w:color w:val="000000"/>
                <w:lang w:val="en-US"/>
              </w:rPr>
              <w:t>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520" w:type="dxa"/>
          </w:tcPr>
          <w:p w:rsidR="001D43FD" w:rsidRPr="003421E1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3421E1">
              <w:rPr>
                <w:rFonts w:ascii="Candara" w:hAnsi="Candara"/>
                <w:sz w:val="20"/>
                <w:szCs w:val="20"/>
              </w:rPr>
              <w:lastRenderedPageBreak/>
              <w:t>Pengertian Pajak dan Fungsi Pajak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</w:t>
            </w:r>
            <w:r w:rsidRPr="003421E1">
              <w:rPr>
                <w:rFonts w:ascii="Candara" w:hAnsi="Candara"/>
                <w:sz w:val="20"/>
                <w:szCs w:val="20"/>
              </w:rPr>
              <w:t>Sistem Pengenaan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Pr="003421E1">
              <w:rPr>
                <w:rFonts w:ascii="Candara" w:hAnsi="Candara"/>
                <w:sz w:val="20"/>
                <w:szCs w:val="20"/>
              </w:rPr>
              <w:t>dan Pemungutan Paja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k dan </w:t>
            </w:r>
            <w:r w:rsidRPr="003421E1">
              <w:rPr>
                <w:rFonts w:ascii="Candara" w:hAnsi="Candara"/>
                <w:sz w:val="20"/>
                <w:szCs w:val="20"/>
              </w:rPr>
              <w:t>Penggolongan Pajak</w:t>
            </w:r>
          </w:p>
          <w:p w:rsidR="001D43FD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A46C39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d-ID"/>
              </w:rPr>
              <w:t>5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lastRenderedPageBreak/>
              <w:t>3</w:t>
            </w:r>
          </w:p>
        </w:tc>
        <w:tc>
          <w:tcPr>
            <w:tcW w:w="2700" w:type="dxa"/>
            <w:shd w:val="clear" w:color="auto" w:fill="auto"/>
          </w:tcPr>
          <w:p w:rsidR="001D43FD" w:rsidRPr="003421E1" w:rsidRDefault="001D43FD" w:rsidP="001D43FD">
            <w:pPr>
              <w:rPr>
                <w:rFonts w:ascii="Candara" w:hAnsi="Candara"/>
                <w:sz w:val="20"/>
                <w:szCs w:val="20"/>
              </w:rPr>
            </w:pPr>
            <w:r w:rsidRPr="00DB759A">
              <w:rPr>
                <w:rFonts w:eastAsia="Times New Roman"/>
                <w:bCs/>
                <w:color w:val="000000"/>
                <w:lang w:val="en-US" w:eastAsia="id-ID"/>
              </w:rPr>
              <w:t>M</w:t>
            </w: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ampu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menjelaskan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Ketentuan Umum dan Tata Cara Perpajakan antara lain </w:t>
            </w:r>
            <w:r w:rsidRPr="003421E1">
              <w:rPr>
                <w:rFonts w:ascii="Candara" w:hAnsi="Candara"/>
                <w:sz w:val="20"/>
                <w:szCs w:val="20"/>
              </w:rPr>
              <w:t xml:space="preserve">pengertian WP, masa pajak dan tahun pajak,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kewajiban mendaftarkan diri</w:t>
            </w:r>
            <w:r w:rsidRPr="003421E1">
              <w:rPr>
                <w:rFonts w:ascii="Candara" w:hAnsi="Candara"/>
                <w:sz w:val="20"/>
                <w:szCs w:val="20"/>
              </w:rPr>
              <w:t xml:space="preserve">,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dan kewajiban m</w:t>
            </w:r>
            <w:r>
              <w:rPr>
                <w:rFonts w:ascii="Candara" w:hAnsi="Candara"/>
                <w:sz w:val="20"/>
                <w:szCs w:val="20"/>
              </w:rPr>
              <w:t>embayar</w:t>
            </w:r>
            <w:r w:rsidRPr="003421E1">
              <w:rPr>
                <w:rFonts w:ascii="Candara" w:hAnsi="Candara"/>
                <w:sz w:val="20"/>
                <w:szCs w:val="20"/>
              </w:rPr>
              <w:t xml:space="preserve"> pajak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kewajiban melaporkan pajak dan </w:t>
            </w:r>
            <w:r w:rsidRPr="003421E1">
              <w:rPr>
                <w:rFonts w:ascii="Candara" w:hAnsi="Candara"/>
                <w:sz w:val="20"/>
                <w:szCs w:val="20"/>
              </w:rPr>
              <w:t>menjelaskan sanksi administrasi jika WP melanggar peraturan perpajakan</w:t>
            </w:r>
          </w:p>
          <w:p w:rsidR="001D43FD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dan kesesuaian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menghitung Sanksi Administrasi Pajak</w:t>
            </w: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884F34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Perhitungan Sanksi Administrasi Pajak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 w:rsidR="00386740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386740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="001D43FD"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="001D43FD" w:rsidRPr="00DB759A">
              <w:rPr>
                <w:rFonts w:eastAsia="Times New Roman"/>
                <w:b/>
                <w:color w:val="000000"/>
              </w:rPr>
              <w:t>(</w:t>
            </w:r>
            <w:r w:rsidR="001D43FD">
              <w:rPr>
                <w:rFonts w:eastAsia="Times New Roman"/>
                <w:b/>
                <w:color w:val="000000"/>
                <w:lang w:val="en-US"/>
              </w:rPr>
              <w:t>3</w:t>
            </w:r>
            <w:r w:rsidR="001D43FD"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386740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="001D43FD" w:rsidRPr="00DB759A">
              <w:rPr>
                <w:rFonts w:eastAsia="Times New Roman"/>
                <w:b/>
                <w:color w:val="000000"/>
              </w:rPr>
              <w:t>x(</w:t>
            </w:r>
            <w:r w:rsidR="001D43FD">
              <w:rPr>
                <w:rFonts w:eastAsia="Times New Roman"/>
                <w:b/>
                <w:color w:val="000000"/>
                <w:lang w:val="en-US"/>
              </w:rPr>
              <w:t>3</w:t>
            </w:r>
            <w:r w:rsidR="001D43FD"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Bentuk: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>Diskusi</w:t>
            </w:r>
            <w:r w:rsidRPr="00DB759A">
              <w:rPr>
                <w:rFonts w:eastAsia="Times New Roman"/>
                <w:color w:val="000000"/>
                <w:lang w:val="en-US"/>
              </w:rPr>
              <w:t xml:space="preserve"> kelompok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520" w:type="dxa"/>
          </w:tcPr>
          <w:p w:rsidR="001D43FD" w:rsidRPr="001A4D38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  <w:lang w:val="en-GB"/>
              </w:rPr>
            </w:pPr>
            <w:r w:rsidRPr="003421E1">
              <w:rPr>
                <w:rFonts w:ascii="Candara" w:hAnsi="Candara"/>
                <w:sz w:val="20"/>
                <w:szCs w:val="20"/>
                <w:lang w:val="en-GB"/>
              </w:rPr>
              <w:t>Pengertian W</w:t>
            </w:r>
            <w:r>
              <w:rPr>
                <w:rFonts w:ascii="Candara" w:hAnsi="Candara"/>
                <w:sz w:val="20"/>
                <w:szCs w:val="20"/>
                <w:lang w:val="en-GB"/>
              </w:rPr>
              <w:t>ajib Pajak</w:t>
            </w:r>
            <w:r w:rsidRPr="003421E1">
              <w:rPr>
                <w:rFonts w:ascii="Candara" w:hAnsi="Candara"/>
                <w:sz w:val="20"/>
                <w:szCs w:val="20"/>
                <w:lang w:val="en-GB"/>
              </w:rPr>
              <w:t>, Masa Pajak dan Tahun Pajak</w:t>
            </w:r>
            <w:r>
              <w:rPr>
                <w:rFonts w:ascii="Candara" w:hAnsi="Candara"/>
                <w:sz w:val="20"/>
                <w:szCs w:val="20"/>
                <w:lang w:val="en-GB"/>
              </w:rPr>
              <w:t xml:space="preserve">, Kewajiban Wajib Pajak, Tata Cara Pendaftaran Wajib Pajak, Kewajiban </w:t>
            </w:r>
            <w:r w:rsidRPr="003421E1">
              <w:rPr>
                <w:rFonts w:ascii="Candara" w:hAnsi="Candar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  <w:lang w:val="en-GB"/>
              </w:rPr>
              <w:t>Membayar Pajak, Kewajiban  m</w:t>
            </w:r>
            <w:r w:rsidRPr="001A4D38">
              <w:rPr>
                <w:rFonts w:ascii="Candara" w:hAnsi="Candara"/>
                <w:sz w:val="20"/>
                <w:szCs w:val="20"/>
                <w:lang w:val="en-GB"/>
              </w:rPr>
              <w:t>elapor</w:t>
            </w:r>
            <w:r>
              <w:rPr>
                <w:rFonts w:ascii="Candara" w:hAnsi="Candara"/>
                <w:sz w:val="20"/>
                <w:szCs w:val="20"/>
                <w:lang w:val="en-GB"/>
              </w:rPr>
              <w:t>k</w:t>
            </w:r>
            <w:r w:rsidRPr="001A4D38">
              <w:rPr>
                <w:rFonts w:ascii="Candara" w:hAnsi="Candara"/>
                <w:sz w:val="20"/>
                <w:szCs w:val="20"/>
                <w:lang w:val="en-GB"/>
              </w:rPr>
              <w:t>an Pajak</w:t>
            </w:r>
            <w:r>
              <w:rPr>
                <w:rFonts w:ascii="Candara" w:hAnsi="Candara"/>
                <w:sz w:val="20"/>
                <w:szCs w:val="20"/>
                <w:lang w:val="en-GB"/>
              </w:rPr>
              <w:t>, Sanksi Pajak, apabila melanggar peraturan pajak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D43FD" w:rsidRPr="00040FDF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Mampu </w:t>
            </w:r>
            <w:r>
              <w:rPr>
                <w:rFonts w:ascii="Candara" w:hAnsi="Candara"/>
                <w:sz w:val="20"/>
                <w:szCs w:val="20"/>
              </w:rPr>
              <w:t>me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njelaskan perbedaan</w:t>
            </w:r>
            <w:r w:rsidRPr="00040FDF">
              <w:rPr>
                <w:rFonts w:ascii="Candara" w:hAnsi="Candara"/>
                <w:sz w:val="20"/>
                <w:szCs w:val="20"/>
              </w:rPr>
              <w:t xml:space="preserve"> antara Subjek Pajak</w:t>
            </w:r>
          </w:p>
          <w:p w:rsidR="001D43FD" w:rsidRPr="00040FDF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040FDF">
              <w:rPr>
                <w:rFonts w:ascii="Candara" w:hAnsi="Candara"/>
                <w:sz w:val="20"/>
                <w:szCs w:val="20"/>
              </w:rPr>
              <w:t>dan Wajib Pajak Penghasila</w:t>
            </w:r>
            <w:r>
              <w:rPr>
                <w:rFonts w:ascii="Candara" w:hAnsi="Candara"/>
                <w:sz w:val="20"/>
                <w:szCs w:val="20"/>
              </w:rPr>
              <w:t xml:space="preserve">n, dan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mampu </w:t>
            </w:r>
            <w:r>
              <w:rPr>
                <w:rFonts w:ascii="Candara" w:hAnsi="Candara"/>
                <w:sz w:val="20"/>
                <w:szCs w:val="20"/>
              </w:rPr>
              <w:t>men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jelaksan</w:t>
            </w:r>
            <w:r w:rsidRPr="00040FDF">
              <w:rPr>
                <w:rFonts w:ascii="Candara" w:hAnsi="Candara"/>
                <w:sz w:val="20"/>
                <w:szCs w:val="20"/>
              </w:rPr>
              <w:t xml:space="preserve"> Oby</w:t>
            </w:r>
            <w:r>
              <w:rPr>
                <w:rFonts w:ascii="Candara" w:hAnsi="Candara"/>
                <w:sz w:val="20"/>
                <w:szCs w:val="20"/>
              </w:rPr>
              <w:t xml:space="preserve">ek PPh dan tarif PPh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serta mampu menjelaskan</w:t>
            </w:r>
            <w:r w:rsidRPr="00040FDF">
              <w:rPr>
                <w:rFonts w:ascii="Candara" w:hAnsi="Candara"/>
                <w:sz w:val="20"/>
                <w:szCs w:val="20"/>
              </w:rPr>
              <w:t xml:space="preserve"> perhitungan PPh dengan tarif umum dan norma penghitungan PPh</w:t>
            </w:r>
          </w:p>
          <w:p w:rsidR="001D43FD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:rsidR="001D43FD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:rsidR="001D43FD" w:rsidRPr="00040FDF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melakukan perhitungan PPh dengan tarif umum dan norma penghitungan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Perhitungan PPh dengan tarif umum dan norma perhitungan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 </w:t>
            </w:r>
            <w:r w:rsidRPr="00DB759A">
              <w:rPr>
                <w:rFonts w:eastAsia="Times New Roman"/>
                <w:color w:val="000000"/>
                <w:lang w:val="en-US"/>
              </w:rPr>
              <w:t xml:space="preserve">Bentuk: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Diskusi kelompo</w:t>
            </w:r>
            <w:r>
              <w:rPr>
                <w:rFonts w:eastAsia="Times New Roman"/>
                <w:color w:val="000000"/>
                <w:lang w:val="en-US"/>
              </w:rPr>
              <w:t>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520" w:type="dxa"/>
          </w:tcPr>
          <w:p w:rsidR="001D43FD" w:rsidRPr="00040FDF" w:rsidRDefault="001D43FD" w:rsidP="001D43FD">
            <w:pPr>
              <w:spacing w:after="0" w:line="240" w:lineRule="auto"/>
              <w:ind w:left="-24"/>
              <w:rPr>
                <w:rFonts w:ascii="Candara" w:hAnsi="Candara"/>
                <w:sz w:val="20"/>
                <w:szCs w:val="20"/>
              </w:rPr>
            </w:pPr>
            <w:r w:rsidRPr="00040FDF">
              <w:rPr>
                <w:rFonts w:ascii="Candara" w:hAnsi="Candara"/>
                <w:sz w:val="20"/>
                <w:szCs w:val="20"/>
              </w:rPr>
              <w:t>Pengertian Subyek dan Wajib Pajak Penghasilan</w:t>
            </w:r>
          </w:p>
          <w:p w:rsidR="001D43FD" w:rsidRPr="00521A08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pengertian </w:t>
            </w:r>
            <w:r w:rsidRPr="00040FDF">
              <w:rPr>
                <w:rFonts w:ascii="Candara" w:hAnsi="Candara"/>
                <w:sz w:val="20"/>
                <w:szCs w:val="20"/>
              </w:rPr>
              <w:t>Objek da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n pengecualian</w:t>
            </w:r>
            <w:r w:rsidRPr="00040FDF">
              <w:rPr>
                <w:rFonts w:ascii="Candara" w:hAnsi="Candara"/>
                <w:sz w:val="20"/>
                <w:szCs w:val="20"/>
              </w:rPr>
              <w:t xml:space="preserve"> Objek PPh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</w:t>
            </w:r>
          </w:p>
          <w:p w:rsidR="001D43FD" w:rsidRPr="00521A08" w:rsidRDefault="001D43FD" w:rsidP="001D43FD">
            <w:pPr>
              <w:spacing w:after="0" w:line="240" w:lineRule="auto"/>
              <w:ind w:left="-24"/>
              <w:rPr>
                <w:rFonts w:ascii="Candara" w:hAnsi="Candara"/>
                <w:sz w:val="20"/>
                <w:szCs w:val="20"/>
                <w:lang w:val="en-US"/>
              </w:rPr>
            </w:pPr>
            <w:r w:rsidRPr="00040FDF">
              <w:rPr>
                <w:rFonts w:ascii="Candara" w:hAnsi="Candara"/>
                <w:sz w:val="20"/>
                <w:szCs w:val="20"/>
              </w:rPr>
              <w:t>Pengurangan yang dibolehkan dan yang tidak diperbolehkan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Perhitungan PPh dengan tarif umum</w:t>
            </w:r>
            <w:r w:rsidRPr="00040FDF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dan</w:t>
            </w:r>
          </w:p>
          <w:p w:rsidR="001D43FD" w:rsidRPr="00040FDF" w:rsidRDefault="001D43FD" w:rsidP="001D43FD">
            <w:pPr>
              <w:spacing w:after="0" w:line="240" w:lineRule="auto"/>
              <w:ind w:left="-24"/>
              <w:rPr>
                <w:rFonts w:ascii="Candara" w:hAnsi="Candara"/>
                <w:sz w:val="20"/>
                <w:szCs w:val="20"/>
              </w:rPr>
            </w:pPr>
            <w:r w:rsidRPr="00040FDF">
              <w:rPr>
                <w:rFonts w:ascii="Candara" w:hAnsi="Candara"/>
                <w:sz w:val="20"/>
                <w:szCs w:val="20"/>
              </w:rPr>
              <w:t>Perhitungan PPh dengan Norma Penghitungan PPh</w:t>
            </w:r>
          </w:p>
          <w:p w:rsidR="001D43FD" w:rsidRPr="003421E1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5-7</w:t>
            </w:r>
          </w:p>
        </w:tc>
        <w:tc>
          <w:tcPr>
            <w:tcW w:w="2700" w:type="dxa"/>
            <w:shd w:val="clear" w:color="auto" w:fill="auto"/>
          </w:tcPr>
          <w:p w:rsidR="001D43FD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Mampu menjelaskan </w:t>
            </w:r>
            <w:r w:rsidRPr="00612B01">
              <w:rPr>
                <w:rFonts w:ascii="Candara" w:hAnsi="Candara"/>
                <w:sz w:val="20"/>
                <w:szCs w:val="20"/>
              </w:rPr>
              <w:t xml:space="preserve"> Subyek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Obyek dan Tarif PPh 21</w:t>
            </w:r>
          </w:p>
          <w:p w:rsidR="001D43FD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lastRenderedPageBreak/>
              <w:t xml:space="preserve">Mampu menghitung </w:t>
            </w:r>
            <w:r w:rsidRPr="00612B01">
              <w:rPr>
                <w:rFonts w:ascii="Candara" w:hAnsi="Candara"/>
                <w:sz w:val="20"/>
                <w:szCs w:val="20"/>
              </w:rPr>
              <w:t>PPh 21/2</w:t>
            </w:r>
            <w:r>
              <w:rPr>
                <w:rFonts w:ascii="Candara" w:hAnsi="Candara"/>
                <w:sz w:val="20"/>
                <w:szCs w:val="20"/>
              </w:rPr>
              <w:t>6 untuk karyawan tetap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karyawan tidak tetap</w:t>
            </w:r>
          </w:p>
          <w:p w:rsidR="001D43FD" w:rsidRPr="00511EA6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Mampu menghitung PPh 21 Penerima honorarium, hadiah dan Karyawan dengan status Wajib Pajak Luar Negeri</w:t>
            </w:r>
          </w:p>
          <w:p w:rsidR="001D43FD" w:rsidRDefault="001D43FD" w:rsidP="001D43FD">
            <w:pPr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Default="001D43FD" w:rsidP="001D43FD">
            <w:pPr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lastRenderedPageBreak/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dan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lastRenderedPageBreak/>
              <w:t>Kesesuaian Perhitungan PPh 21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lastRenderedPageBreak/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lastRenderedPageBreak/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Praktek  Perhitungan PPh 21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lastRenderedPageBreak/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 xml:space="preserve">Bentuk: </w:t>
            </w:r>
          </w:p>
          <w:p w:rsidR="001D43FD" w:rsidRPr="00353212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  <w:r>
              <w:rPr>
                <w:rFonts w:eastAsia="Times New Roman"/>
                <w:color w:val="000000"/>
                <w:lang w:val="en-US"/>
              </w:rPr>
              <w:t xml:space="preserve"> dan Praktik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Diskusi kelompo</w:t>
            </w:r>
            <w:r>
              <w:rPr>
                <w:rFonts w:eastAsia="Times New Roman"/>
                <w:color w:val="000000"/>
                <w:lang w:val="en-US"/>
              </w:rPr>
              <w:t>k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612B01" w:rsidRDefault="001D43FD" w:rsidP="001D43FD">
            <w:pPr>
              <w:spacing w:after="0" w:line="240" w:lineRule="auto"/>
              <w:ind w:left="-24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612B01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Perbedaan Subyek, non Subyek,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 </w:t>
            </w:r>
            <w:r w:rsidRPr="00612B01">
              <w:rPr>
                <w:rFonts w:ascii="Candara" w:hAnsi="Candara"/>
                <w:color w:val="000000"/>
                <w:sz w:val="20"/>
                <w:szCs w:val="20"/>
              </w:rPr>
              <w:t xml:space="preserve">Obyek, 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>dan Tarif</w:t>
            </w:r>
            <w:r w:rsidRPr="00612B01">
              <w:rPr>
                <w:rFonts w:ascii="Candara" w:hAnsi="Candara"/>
                <w:color w:val="000000"/>
                <w:sz w:val="20"/>
                <w:szCs w:val="20"/>
              </w:rPr>
              <w:t xml:space="preserve"> </w:t>
            </w:r>
            <w:r w:rsidRPr="00612B01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PPh 21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, Perhitungan </w:t>
            </w:r>
            <w:r w:rsidRPr="00612B01">
              <w:rPr>
                <w:rFonts w:ascii="Candara" w:hAnsi="Candara"/>
                <w:color w:val="000000"/>
                <w:sz w:val="20"/>
                <w:szCs w:val="20"/>
              </w:rPr>
              <w:t>PPh 21 untuk karyawan tetap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>,</w:t>
            </w:r>
            <w:r w:rsidRPr="00612B01">
              <w:rPr>
                <w:rFonts w:ascii="Candara" w:hAnsi="Candara"/>
                <w:color w:val="000000"/>
                <w:sz w:val="20"/>
                <w:szCs w:val="20"/>
              </w:rPr>
              <w:t xml:space="preserve"> </w:t>
            </w:r>
          </w:p>
          <w:p w:rsidR="001D43FD" w:rsidRPr="0055005D" w:rsidRDefault="001D43FD" w:rsidP="001D43FD">
            <w:pPr>
              <w:spacing w:after="0" w:line="240" w:lineRule="auto"/>
              <w:ind w:left="-24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P</w:t>
            </w:r>
            <w:r w:rsidRPr="00612347">
              <w:rPr>
                <w:rFonts w:ascii="Candara" w:hAnsi="Candara"/>
                <w:sz w:val="20"/>
                <w:szCs w:val="20"/>
              </w:rPr>
              <w:t>enerima honorarium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</w:t>
            </w:r>
          </w:p>
          <w:p w:rsidR="001D43FD" w:rsidRPr="00612347" w:rsidRDefault="001D43FD" w:rsidP="001D43FD">
            <w:pPr>
              <w:spacing w:after="0" w:line="240" w:lineRule="auto"/>
              <w:ind w:left="-24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Perhitungan </w:t>
            </w:r>
            <w:r w:rsidRPr="00612347">
              <w:rPr>
                <w:rFonts w:ascii="Candara" w:hAnsi="Candara"/>
                <w:sz w:val="20"/>
                <w:szCs w:val="20"/>
              </w:rPr>
              <w:t xml:space="preserve"> PPh 21 untuk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P</w:t>
            </w:r>
            <w:r w:rsidRPr="00612347">
              <w:rPr>
                <w:rFonts w:ascii="Candara" w:hAnsi="Candara"/>
                <w:sz w:val="20"/>
                <w:szCs w:val="20"/>
              </w:rPr>
              <w:t>enerima hadiah penghargaan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Perhitungan </w:t>
            </w:r>
            <w:r w:rsidRPr="00612347">
              <w:rPr>
                <w:rFonts w:ascii="Candara" w:hAnsi="Candara"/>
                <w:sz w:val="20"/>
                <w:szCs w:val="20"/>
              </w:rPr>
              <w:t>PPh 21 untuk karyawan/karyawati dengan status WP Luar Negeri</w:t>
            </w:r>
          </w:p>
          <w:p w:rsidR="001D43FD" w:rsidRPr="00C31C29" w:rsidRDefault="001D43FD" w:rsidP="001D43FD">
            <w:pPr>
              <w:pStyle w:val="BodyTextIndent"/>
              <w:spacing w:after="0" w:line="240" w:lineRule="auto"/>
              <w:ind w:left="-24"/>
              <w:rPr>
                <w:rFonts w:ascii="Candara" w:hAnsi="Candara"/>
                <w:sz w:val="20"/>
              </w:rPr>
            </w:pPr>
          </w:p>
          <w:p w:rsidR="001D43FD" w:rsidRPr="00612B01" w:rsidRDefault="001D43FD" w:rsidP="001D43FD">
            <w:pPr>
              <w:spacing w:after="0" w:line="240" w:lineRule="auto"/>
              <w:ind w:left="336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lastRenderedPageBreak/>
              <w:t>25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auto"/>
          </w:tcPr>
          <w:p w:rsidR="001D43FD" w:rsidRPr="00991E94" w:rsidRDefault="001D43FD" w:rsidP="001D43FD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>Mampu</w:t>
            </w:r>
            <w:r w:rsidRPr="00EB2007">
              <w:rPr>
                <w:rFonts w:ascii="Candara" w:hAnsi="Candara"/>
                <w:color w:val="000000"/>
                <w:sz w:val="20"/>
                <w:szCs w:val="20"/>
              </w:rPr>
              <w:t xml:space="preserve"> menjelaskan 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subyek, obyek dan tarif PPh 22 dan </w:t>
            </w:r>
            <w:r w:rsidRPr="00EB2007">
              <w:rPr>
                <w:rFonts w:ascii="Candara" w:hAnsi="Candara"/>
                <w:color w:val="000000"/>
                <w:sz w:val="20"/>
                <w:szCs w:val="20"/>
              </w:rPr>
              <w:t>menerapkan dalam penghitungan PPh 22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 dan menjelaskan Kredit Pajak Luar Negeri (PPh 24)</w:t>
            </w:r>
          </w:p>
          <w:p w:rsidR="001D43FD" w:rsidRPr="00EB2007" w:rsidRDefault="001D43FD" w:rsidP="001D43FD">
            <w:pPr>
              <w:spacing w:after="0" w:line="24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Perhitungan PPh 22 dan PPh 24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Praktek  Perhitungan PPh 22 dan PPh 24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 xml:space="preserve">Bentuk: </w:t>
            </w:r>
          </w:p>
          <w:p w:rsidR="001D43FD" w:rsidRPr="00353212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  <w:r>
              <w:rPr>
                <w:rFonts w:eastAsia="Times New Roman"/>
                <w:color w:val="000000"/>
                <w:lang w:val="en-US"/>
              </w:rPr>
              <w:t xml:space="preserve"> dan Praktik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Diskusi kelompo</w:t>
            </w:r>
            <w:r>
              <w:rPr>
                <w:rFonts w:eastAsia="Times New Roman"/>
                <w:color w:val="000000"/>
                <w:lang w:val="en-US"/>
              </w:rPr>
              <w:t>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520" w:type="dxa"/>
          </w:tcPr>
          <w:p w:rsidR="001D43FD" w:rsidRPr="00991E94" w:rsidRDefault="001D43FD" w:rsidP="001D43FD">
            <w:pPr>
              <w:spacing w:after="0" w:line="240" w:lineRule="auto"/>
              <w:ind w:left="-24"/>
              <w:rPr>
                <w:rFonts w:ascii="Candara" w:hAnsi="Candar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>Pemungut PPh 22, penghasilan yang dipungut PPh 22, tarif</w:t>
            </w:r>
            <w:r w:rsidRPr="00EB2007">
              <w:rPr>
                <w:rFonts w:ascii="Candara" w:hAnsi="Candara"/>
                <w:color w:val="000000"/>
                <w:sz w:val="20"/>
                <w:szCs w:val="20"/>
              </w:rPr>
              <w:t xml:space="preserve"> PPh 22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B2007">
              <w:rPr>
                <w:rFonts w:ascii="Candara" w:hAnsi="Candara"/>
                <w:color w:val="000000"/>
                <w:sz w:val="20"/>
                <w:szCs w:val="20"/>
              </w:rPr>
              <w:t>Mekanisme pemungutan PPh 22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>,K</w:t>
            </w:r>
            <w:r w:rsidRPr="00EB2007">
              <w:rPr>
                <w:rFonts w:ascii="Candara" w:hAnsi="Candara"/>
                <w:color w:val="000000"/>
                <w:sz w:val="20"/>
                <w:szCs w:val="20"/>
              </w:rPr>
              <w:t>asus Perhitungan PPh 22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, Perhitungan Pajak atas penghasilan yang berasal dari dalam negeri dan luar negeri, Perhitungan Kredit </w:t>
            </w:r>
            <w:r>
              <w:rPr>
                <w:rFonts w:ascii="Candara" w:hAnsi="Candara"/>
                <w:sz w:val="20"/>
                <w:lang w:val="en-US"/>
              </w:rPr>
              <w:t>P</w:t>
            </w:r>
            <w:r w:rsidRPr="00EB2007">
              <w:rPr>
                <w:rFonts w:ascii="Candara" w:hAnsi="Candara"/>
                <w:sz w:val="20"/>
                <w:lang w:val="en-US"/>
              </w:rPr>
              <w:t>ajak atas penghasilan yang diterima WP dari Luar Neger</w:t>
            </w:r>
            <w:r>
              <w:rPr>
                <w:rFonts w:ascii="Candara" w:hAnsi="Candara"/>
                <w:sz w:val="20"/>
                <w:lang w:val="en-US"/>
              </w:rPr>
              <w:t>i (</w:t>
            </w:r>
            <w:r w:rsidRPr="00EB2007">
              <w:rPr>
                <w:rFonts w:ascii="Candara" w:hAnsi="Candara"/>
                <w:sz w:val="20"/>
                <w:lang w:val="en-US"/>
              </w:rPr>
              <w:t>PPh 24</w:t>
            </w:r>
            <w:r>
              <w:rPr>
                <w:rFonts w:ascii="Candara" w:hAnsi="Candara"/>
                <w:sz w:val="20"/>
                <w:lang w:val="en-US"/>
              </w:rPr>
              <w:t>)</w:t>
            </w:r>
          </w:p>
          <w:p w:rsidR="001D43FD" w:rsidRPr="002E1724" w:rsidRDefault="001D43FD" w:rsidP="001D43FD">
            <w:pPr>
              <w:spacing w:after="0" w:line="240" w:lineRule="auto"/>
              <w:ind w:left="336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10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1D43FD" w:rsidRPr="00957B72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M</w:t>
            </w:r>
            <w:r w:rsidRPr="00957B72">
              <w:rPr>
                <w:rFonts w:ascii="Candara" w:hAnsi="Candara"/>
                <w:sz w:val="20"/>
                <w:szCs w:val="20"/>
              </w:rPr>
              <w:t xml:space="preserve">ampu menjelaskan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Subyek, obyek dan tarif PPh 23/26, menjelaskan </w:t>
            </w:r>
            <w:r w:rsidRPr="00957B72">
              <w:rPr>
                <w:rFonts w:ascii="Candara" w:hAnsi="Candara"/>
                <w:sz w:val="20"/>
                <w:szCs w:val="20"/>
              </w:rPr>
              <w:t>mekanisme pemotongan PPh 23/26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dan </w:t>
            </w:r>
            <w:r w:rsidRPr="00957B72">
              <w:rPr>
                <w:rFonts w:ascii="Candara" w:hAnsi="Candara"/>
                <w:sz w:val="20"/>
                <w:szCs w:val="20"/>
              </w:rPr>
              <w:t>menerapkan dalam penghitungan PPh</w:t>
            </w:r>
          </w:p>
          <w:p w:rsidR="001D43FD" w:rsidRPr="00957B72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Perhitungan PPh 23 dan PPh 26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Praktek  Perhitungan PPh 23 dan PPh 26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lastRenderedPageBreak/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lastRenderedPageBreak/>
              <w:t xml:space="preserve">Bentuk: </w:t>
            </w:r>
          </w:p>
          <w:p w:rsidR="001D43FD" w:rsidRPr="00353212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  <w:r>
              <w:rPr>
                <w:rFonts w:eastAsia="Times New Roman"/>
                <w:color w:val="000000"/>
                <w:lang w:val="en-US"/>
              </w:rPr>
              <w:t xml:space="preserve"> dan Praktik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Diskusi kelompo</w:t>
            </w:r>
            <w:r>
              <w:rPr>
                <w:rFonts w:eastAsia="Times New Roman"/>
                <w:color w:val="000000"/>
                <w:lang w:val="en-US"/>
              </w:rPr>
              <w:t>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D43FD" w:rsidRPr="0016186C" w:rsidRDefault="001D43FD" w:rsidP="001D43FD">
            <w:pPr>
              <w:spacing w:after="0" w:line="240" w:lineRule="auto"/>
              <w:ind w:left="-43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lastRenderedPageBreak/>
              <w:t>Subyek</w:t>
            </w:r>
            <w:r w:rsidRPr="00621472">
              <w:rPr>
                <w:rFonts w:ascii="Candara" w:hAnsi="Candara"/>
                <w:color w:val="000000"/>
                <w:sz w:val="20"/>
                <w:szCs w:val="20"/>
              </w:rPr>
              <w:t xml:space="preserve">, obyek dan 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tarif </w:t>
            </w:r>
            <w:r w:rsidRPr="00621472">
              <w:rPr>
                <w:rFonts w:ascii="Candara" w:hAnsi="Candara"/>
                <w:color w:val="000000"/>
                <w:sz w:val="20"/>
                <w:szCs w:val="20"/>
              </w:rPr>
              <w:t>PPh 23/26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21472">
              <w:rPr>
                <w:rFonts w:ascii="Candara" w:hAnsi="Candara"/>
                <w:color w:val="000000"/>
                <w:sz w:val="20"/>
                <w:szCs w:val="20"/>
              </w:rPr>
              <w:t>Mekanisme pemungutan PPh 23/26</w:t>
            </w:r>
            <w:r>
              <w:rPr>
                <w:rFonts w:ascii="Candara" w:hAnsi="Candara"/>
                <w:color w:val="000000"/>
                <w:sz w:val="20"/>
                <w:szCs w:val="20"/>
                <w:lang w:val="en-US"/>
              </w:rPr>
              <w:t xml:space="preserve">, melakukan </w:t>
            </w:r>
            <w:r w:rsidRPr="00621472">
              <w:rPr>
                <w:rFonts w:ascii="Candara" w:hAnsi="Candara"/>
                <w:color w:val="000000"/>
                <w:sz w:val="20"/>
                <w:szCs w:val="20"/>
              </w:rPr>
              <w:t>Perhitungan PPh 23/26</w:t>
            </w: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10</w:t>
            </w:r>
          </w:p>
        </w:tc>
      </w:tr>
      <w:tr w:rsidR="001D43FD" w:rsidRPr="00DB759A" w:rsidTr="001D43FD">
        <w:trPr>
          <w:trHeight w:val="145"/>
        </w:trPr>
        <w:tc>
          <w:tcPr>
            <w:tcW w:w="3798" w:type="dxa"/>
            <w:gridSpan w:val="2"/>
            <w:shd w:val="clear" w:color="auto" w:fill="auto"/>
          </w:tcPr>
          <w:p w:rsidR="001D43FD" w:rsidRDefault="001D43FD" w:rsidP="001D43FD">
            <w:pPr>
              <w:spacing w:after="0" w:line="240" w:lineRule="auto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lastRenderedPageBreak/>
              <w:t>UTS</w:t>
            </w:r>
          </w:p>
        </w:tc>
        <w:tc>
          <w:tcPr>
            <w:tcW w:w="2070" w:type="dxa"/>
            <w:shd w:val="solid" w:color="auto" w:fill="auto"/>
          </w:tcPr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  <w:shd w:val="solid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20" w:type="dxa"/>
            <w:shd w:val="solid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color w:val="000000"/>
              </w:rPr>
            </w:pPr>
          </w:p>
        </w:tc>
        <w:tc>
          <w:tcPr>
            <w:tcW w:w="2520" w:type="dxa"/>
            <w:shd w:val="solid" w:color="auto" w:fill="auto"/>
          </w:tcPr>
          <w:p w:rsidR="001D43FD" w:rsidRDefault="001D43FD" w:rsidP="001D43FD">
            <w:pPr>
              <w:spacing w:after="0" w:line="240" w:lineRule="auto"/>
              <w:ind w:left="-43"/>
              <w:rPr>
                <w:rFonts w:ascii="Candara" w:hAnsi="Candar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30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1D43FD" w:rsidRDefault="001D43FD" w:rsidP="001D43F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</w:rPr>
              <w:t>M</w:t>
            </w:r>
            <w:r w:rsidRPr="00621472">
              <w:rPr>
                <w:rFonts w:ascii="Candara" w:hAnsi="Candara"/>
                <w:sz w:val="20"/>
                <w:szCs w:val="20"/>
              </w:rPr>
              <w:t>ampu menjelaskan mekanisme angsuran PPh 25 dan dapat membedakan PPh final dan tidak final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dan dapat menjelaskan cara pengisian SPT PPh WP Orang Pribadi</w:t>
            </w:r>
          </w:p>
          <w:p w:rsidR="001D43FD" w:rsidRPr="00C862D7" w:rsidRDefault="001D43FD" w:rsidP="001D43FD">
            <w:pPr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1D43FD" w:rsidRPr="00A22CFC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Perhitungan PPh 25 dan PPh Final</w:t>
            </w:r>
          </w:p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Ketepatan dalam Pengisian SPT PPh WP Orang Pribadi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1A5BC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A22CFC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Praktek  Perhitungan PPh 25</w:t>
            </w:r>
          </w:p>
          <w:p w:rsidR="001D43FD" w:rsidRPr="00A22CFC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Pengisian Formulir SPT 1770 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26"/>
              <w:rPr>
                <w:rFonts w:eastAsia="Times New Roman"/>
                <w:color w:val="000000"/>
              </w:rPr>
            </w:pP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 xml:space="preserve">Bentuk: </w:t>
            </w:r>
          </w:p>
          <w:p w:rsidR="001D43FD" w:rsidRPr="00353212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Kuliah</w:t>
            </w:r>
            <w:r>
              <w:rPr>
                <w:rFonts w:eastAsia="Times New Roman"/>
                <w:color w:val="000000"/>
                <w:lang w:val="en-US"/>
              </w:rPr>
              <w:t xml:space="preserve"> dan Praktik</w:t>
            </w:r>
          </w:p>
          <w:p w:rsidR="001D43FD" w:rsidRPr="00DB759A" w:rsidRDefault="001D43FD" w:rsidP="001D43FD">
            <w:pPr>
              <w:numPr>
                <w:ilvl w:val="0"/>
                <w:numId w:val="2"/>
              </w:numPr>
              <w:autoSpaceDE w:val="0"/>
              <w:autoSpaceDN w:val="0"/>
              <w:spacing w:after="0" w:line="252" w:lineRule="auto"/>
              <w:ind w:left="177" w:hanging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77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color w:val="000000"/>
                <w:lang w:val="en-US"/>
              </w:rPr>
              <w:t>Diskusi kelompo</w:t>
            </w:r>
            <w:r>
              <w:rPr>
                <w:rFonts w:eastAsia="Times New Roman"/>
                <w:color w:val="000000"/>
                <w:lang w:val="en-US"/>
              </w:rPr>
              <w:t>k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C862D7" w:rsidRDefault="001D43FD" w:rsidP="001D43FD">
            <w:pPr>
              <w:spacing w:after="0" w:line="240" w:lineRule="auto"/>
              <w:ind w:left="-24"/>
              <w:jc w:val="both"/>
              <w:rPr>
                <w:rFonts w:ascii="Candara" w:hAnsi="Candara"/>
                <w:sz w:val="20"/>
                <w:szCs w:val="20"/>
              </w:rPr>
            </w:pPr>
            <w:r w:rsidRPr="00621472">
              <w:rPr>
                <w:rFonts w:ascii="Candara" w:hAnsi="Candara"/>
                <w:sz w:val="20"/>
                <w:szCs w:val="20"/>
              </w:rPr>
              <w:t>Mekanisme angsuran PPh 25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</w:t>
            </w:r>
            <w:r w:rsidRPr="00621472">
              <w:rPr>
                <w:rFonts w:ascii="Candara" w:hAnsi="Candara"/>
                <w:sz w:val="20"/>
                <w:szCs w:val="20"/>
              </w:rPr>
              <w:t>Perbedaan antara PPh final dan tidak final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dan Pengisian SPT PPh WP Orang Pribadi</w:t>
            </w:r>
          </w:p>
          <w:p w:rsidR="001D43FD" w:rsidRPr="00621472" w:rsidRDefault="001D43FD" w:rsidP="001D43FD">
            <w:pPr>
              <w:spacing w:after="0" w:line="240" w:lineRule="auto"/>
              <w:ind w:left="336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20</w:t>
            </w:r>
          </w:p>
        </w:tc>
      </w:tr>
      <w:tr w:rsidR="001D43FD" w:rsidRPr="00DB759A" w:rsidTr="001D43FD">
        <w:trPr>
          <w:trHeight w:val="145"/>
        </w:trPr>
        <w:tc>
          <w:tcPr>
            <w:tcW w:w="1098" w:type="dxa"/>
            <w:shd w:val="clear" w:color="auto" w:fill="auto"/>
          </w:tcPr>
          <w:p w:rsidR="001D43FD" w:rsidRPr="00586EF5" w:rsidRDefault="001D43FD" w:rsidP="001D43FD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>12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,13</w:t>
            </w:r>
          </w:p>
        </w:tc>
        <w:tc>
          <w:tcPr>
            <w:tcW w:w="2700" w:type="dxa"/>
            <w:shd w:val="clear" w:color="auto" w:fill="auto"/>
          </w:tcPr>
          <w:p w:rsidR="001D43FD" w:rsidRPr="00586EF5" w:rsidRDefault="001D43FD" w:rsidP="001D43F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</w:rPr>
              <w:t>Ma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mpu menjelaskan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15BE5">
              <w:rPr>
                <w:rFonts w:ascii="Candara" w:hAnsi="Candara"/>
                <w:sz w:val="20"/>
                <w:szCs w:val="20"/>
              </w:rPr>
              <w:t xml:space="preserve">karakteristik PPN dan </w:t>
            </w:r>
            <w:r>
              <w:rPr>
                <w:rFonts w:ascii="Candara" w:hAnsi="Candara"/>
                <w:sz w:val="20"/>
                <w:szCs w:val="20"/>
              </w:rPr>
              <w:t>PPnBM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Mekanisme Kredit Pajak, Faktur Pajak. Mampu menjelaskan p</w:t>
            </w:r>
            <w:r w:rsidRPr="00E15BE5">
              <w:rPr>
                <w:rFonts w:ascii="Candara" w:hAnsi="Candara"/>
                <w:sz w:val="20"/>
                <w:szCs w:val="20"/>
              </w:rPr>
              <w:t>engerti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an</w:t>
            </w:r>
            <w:r w:rsidRPr="00E15BE5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Dasar Pengenaan PPN, Perhitungan PPN</w:t>
            </w: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Perhitungan PPN</w:t>
            </w: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</w:t>
            </w:r>
            <w:r>
              <w:rPr>
                <w:rFonts w:eastAsia="Times New Roman"/>
                <w:color w:val="000000"/>
                <w:lang w:val="en-US"/>
              </w:rPr>
              <w:t xml:space="preserve">n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1A5BC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A22CFC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Praktek  Perhitungan PPN</w:t>
            </w:r>
          </w:p>
          <w:p w:rsidR="001D43FD" w:rsidRPr="00A22CFC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eastAsia="Times New Roman"/>
                <w:color w:val="000000"/>
              </w:rPr>
            </w:pP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26"/>
              <w:rPr>
                <w:rFonts w:eastAsia="Times New Roman"/>
                <w:color w:val="000000"/>
              </w:rPr>
            </w:pP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>TM: 2x(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2x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2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lang w:val="en-US" w:eastAsia="id-ID"/>
              </w:rPr>
              <w:t>Bentuk: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Kuliah dan </w:t>
            </w:r>
            <w:r w:rsidRPr="00DB759A">
              <w:rPr>
                <w:rFonts w:eastAsia="Times New Roman"/>
                <w:bCs/>
                <w:color w:val="000000"/>
                <w:lang w:val="en-US" w:eastAsia="id-ID"/>
              </w:rPr>
              <w:t>Praktik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lang w:val="en-US" w:eastAsia="id-ID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>diskusi kelompok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2520" w:type="dxa"/>
          </w:tcPr>
          <w:p w:rsidR="001D43FD" w:rsidRPr="00782F59" w:rsidRDefault="001D43FD" w:rsidP="001D43FD">
            <w:pPr>
              <w:spacing w:after="0" w:line="240" w:lineRule="auto"/>
              <w:ind w:left="-24"/>
              <w:jc w:val="both"/>
              <w:rPr>
                <w:rFonts w:ascii="Candara" w:hAnsi="Candara"/>
                <w:sz w:val="20"/>
                <w:szCs w:val="20"/>
              </w:rPr>
            </w:pPr>
            <w:r w:rsidRPr="00782F59">
              <w:rPr>
                <w:rFonts w:ascii="Candara" w:hAnsi="Candara"/>
                <w:sz w:val="20"/>
                <w:szCs w:val="20"/>
              </w:rPr>
              <w:t>Karakteristik PPN dan PPnBM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</w:t>
            </w:r>
            <w:r w:rsidRPr="00782F59">
              <w:rPr>
                <w:rFonts w:ascii="Candara" w:hAnsi="Candara"/>
                <w:sz w:val="20"/>
                <w:szCs w:val="20"/>
              </w:rPr>
              <w:t>Mekanisme Kredit Pajak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</w:t>
            </w:r>
            <w:r w:rsidRPr="00782F59">
              <w:rPr>
                <w:rFonts w:ascii="Candara" w:hAnsi="Candara"/>
                <w:sz w:val="20"/>
                <w:szCs w:val="20"/>
              </w:rPr>
              <w:t>Saat Pembuatan Faktur Pajak</w:t>
            </w:r>
            <w:r>
              <w:rPr>
                <w:rFonts w:ascii="Candara" w:hAnsi="Candara"/>
                <w:sz w:val="20"/>
                <w:lang w:val="en-US"/>
              </w:rPr>
              <w:t xml:space="preserve">, Dasar Pengenaan Pajak, Perhitungan PPN </w:t>
            </w:r>
          </w:p>
          <w:p w:rsidR="001D43FD" w:rsidRPr="00782F59" w:rsidRDefault="001D43FD" w:rsidP="001D43FD">
            <w:pPr>
              <w:spacing w:after="0" w:line="240" w:lineRule="auto"/>
              <w:ind w:left="336"/>
              <w:rPr>
                <w:rFonts w:ascii="Candara" w:hAnsi="Candara"/>
                <w:sz w:val="20"/>
                <w:szCs w:val="20"/>
              </w:rPr>
            </w:pPr>
          </w:p>
          <w:p w:rsidR="001D43FD" w:rsidRPr="00C31C29" w:rsidRDefault="001D43FD" w:rsidP="001D43FD">
            <w:pPr>
              <w:pStyle w:val="BodyTextIndent"/>
              <w:ind w:left="336"/>
              <w:rPr>
                <w:rFonts w:ascii="Candara" w:hAnsi="Candara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lang w:eastAsia="id-ID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val="en-US" w:eastAsia="id-ID"/>
              </w:rPr>
              <w:t>0</w:t>
            </w:r>
          </w:p>
        </w:tc>
      </w:tr>
      <w:tr w:rsidR="001D43FD" w:rsidRPr="00DB759A" w:rsidTr="001D43FD">
        <w:trPr>
          <w:trHeight w:val="2709"/>
        </w:trPr>
        <w:tc>
          <w:tcPr>
            <w:tcW w:w="1098" w:type="dxa"/>
            <w:shd w:val="clear" w:color="auto" w:fill="auto"/>
          </w:tcPr>
          <w:p w:rsidR="001D43FD" w:rsidRPr="00E370DA" w:rsidRDefault="001D43FD" w:rsidP="001D43FD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lastRenderedPageBreak/>
              <w:t>14</w:t>
            </w:r>
          </w:p>
        </w:tc>
        <w:tc>
          <w:tcPr>
            <w:tcW w:w="2700" w:type="dxa"/>
            <w:shd w:val="clear" w:color="auto" w:fill="auto"/>
          </w:tcPr>
          <w:p w:rsidR="001D43FD" w:rsidRPr="00387F37" w:rsidRDefault="001D43FD" w:rsidP="001D43F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mpu menjelaskan subyek, obyek, tarif dan </w:t>
            </w:r>
            <w:r w:rsidRPr="00387F37">
              <w:rPr>
                <w:rFonts w:ascii="Candara" w:hAnsi="Candara"/>
                <w:sz w:val="20"/>
                <w:szCs w:val="20"/>
              </w:rPr>
              <w:t>cara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Pr="00387F37">
              <w:rPr>
                <w:rFonts w:ascii="Candara" w:hAnsi="Candara"/>
                <w:sz w:val="20"/>
                <w:szCs w:val="20"/>
              </w:rPr>
              <w:t xml:space="preserve">Perhitungan PBB </w:t>
            </w:r>
          </w:p>
        </w:tc>
        <w:tc>
          <w:tcPr>
            <w:tcW w:w="2070" w:type="dxa"/>
          </w:tcPr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dalam menjelaskan Pengalihan Pajak Pusat menjadi Pajak Daerah</w:t>
            </w:r>
          </w:p>
        </w:tc>
        <w:tc>
          <w:tcPr>
            <w:tcW w:w="198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1A5BC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635BB9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Makalah</w:t>
            </w:r>
          </w:p>
          <w:p w:rsidR="001D43FD" w:rsidRPr="00A22CFC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Presentasi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26"/>
              <w:rPr>
                <w:rFonts w:eastAsia="Times New Roman"/>
                <w:color w:val="000000"/>
              </w:rPr>
            </w:pP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Pr="00DB759A">
              <w:rPr>
                <w:rFonts w:eastAsia="Times New Roman"/>
                <w:b/>
                <w:bCs/>
                <w:color w:val="000000"/>
                <w:lang w:val="en-US" w:eastAsia="id-ID"/>
              </w:rPr>
              <w:t>Bentuk: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Kuliah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lang w:val="en-US" w:eastAsia="id-ID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>diskusi kelompok</w:t>
            </w:r>
          </w:p>
          <w:p w:rsidR="001D43FD" w:rsidRPr="009D60D1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</w:tcPr>
          <w:p w:rsidR="001D43FD" w:rsidRPr="00AA0A89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P</w:t>
            </w:r>
            <w:r w:rsidRPr="00C5340B">
              <w:rPr>
                <w:rFonts w:ascii="Candara" w:hAnsi="Candara"/>
                <w:sz w:val="20"/>
                <w:szCs w:val="20"/>
              </w:rPr>
              <w:t>engalihan PBB dari pajak pusat menjadi pajak daerah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S</w:t>
            </w:r>
            <w:r w:rsidRPr="00C5340B">
              <w:rPr>
                <w:rFonts w:ascii="Candara" w:hAnsi="Candara"/>
                <w:sz w:val="20"/>
                <w:szCs w:val="20"/>
              </w:rPr>
              <w:t>ubyek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O</w:t>
            </w:r>
            <w:r w:rsidRPr="00C5340B">
              <w:rPr>
                <w:rFonts w:ascii="Candara" w:hAnsi="Candara"/>
                <w:sz w:val="20"/>
                <w:szCs w:val="20"/>
              </w:rPr>
              <w:t>byek dan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T</w:t>
            </w:r>
            <w:r w:rsidRPr="00C5340B">
              <w:rPr>
                <w:rFonts w:ascii="Candara" w:hAnsi="Candara"/>
                <w:sz w:val="20"/>
                <w:szCs w:val="20"/>
              </w:rPr>
              <w:t>arif PBB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dan Cara </w:t>
            </w:r>
            <w:r w:rsidRPr="00B3003E">
              <w:rPr>
                <w:rFonts w:ascii="Candara" w:hAnsi="Candara"/>
                <w:sz w:val="20"/>
                <w:szCs w:val="20"/>
              </w:rPr>
              <w:t>perhitungan PBB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dan K</w:t>
            </w:r>
            <w:r w:rsidRPr="00C5340B">
              <w:rPr>
                <w:rFonts w:ascii="Candara" w:hAnsi="Candara"/>
                <w:sz w:val="20"/>
                <w:szCs w:val="20"/>
              </w:rPr>
              <w:t>asus perhitungan PBB</w:t>
            </w:r>
          </w:p>
          <w:p w:rsidR="001D43FD" w:rsidRPr="00C5340B" w:rsidRDefault="001D43FD" w:rsidP="001D43FD">
            <w:pPr>
              <w:spacing w:after="0" w:line="240" w:lineRule="auto"/>
              <w:ind w:left="336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1D43FD" w:rsidRPr="00C5340B" w:rsidRDefault="001D43FD" w:rsidP="001D43FD">
            <w:pPr>
              <w:ind w:left="336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B00259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d-ID"/>
              </w:rPr>
              <w:t>5</w:t>
            </w:r>
          </w:p>
        </w:tc>
      </w:tr>
      <w:tr w:rsidR="001D43FD" w:rsidRPr="00DB759A" w:rsidTr="001D43FD">
        <w:trPr>
          <w:trHeight w:val="3798"/>
        </w:trPr>
        <w:tc>
          <w:tcPr>
            <w:tcW w:w="1098" w:type="dxa"/>
            <w:shd w:val="clear" w:color="auto" w:fill="auto"/>
          </w:tcPr>
          <w:p w:rsidR="001D43FD" w:rsidRPr="00E370DA" w:rsidRDefault="001D43FD" w:rsidP="001D43FD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1D43FD" w:rsidRPr="00387F37" w:rsidRDefault="001D43FD" w:rsidP="001D43F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M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mpu menjelaskan subyek</w:t>
            </w:r>
            <w:r w:rsidRPr="00387F37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, obyek , tarif  dan </w:t>
            </w:r>
            <w:r w:rsidRPr="00387F37">
              <w:rPr>
                <w:rFonts w:ascii="Candara" w:hAnsi="Candara"/>
                <w:sz w:val="20"/>
                <w:szCs w:val="20"/>
              </w:rPr>
              <w:t xml:space="preserve">cara Perhitungan  BPHTB 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Mampu menjelaskan Subyek, obyek dan tarif </w:t>
            </w:r>
            <w:r w:rsidRPr="00387F37">
              <w:rPr>
                <w:rFonts w:ascii="Candara" w:hAnsi="Candara"/>
                <w:sz w:val="20"/>
                <w:szCs w:val="20"/>
              </w:rPr>
              <w:t>Bea Meterai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43FD" w:rsidRDefault="001D43FD" w:rsidP="001D43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9"/>
              <w:rPr>
                <w:rFonts w:eastAsia="Times New Roman"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 xml:space="preserve">Ketepatan </w:t>
            </w:r>
            <w:r>
              <w:rPr>
                <w:rFonts w:eastAsia="Times New Roman"/>
                <w:bCs/>
                <w:color w:val="000000"/>
                <w:lang w:val="en-US" w:eastAsia="id-ID"/>
              </w:rPr>
              <w:t>dan Kesesuaian dalam menjelaskan PBB dan BPHTB</w:t>
            </w:r>
          </w:p>
          <w:p w:rsidR="001D43FD" w:rsidRPr="00C92EB5" w:rsidRDefault="001D43FD" w:rsidP="001D43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9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Ketepatan dalam perhitungan PBB, BPHTB dan Bea Meterai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Kr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i</w:t>
            </w:r>
            <w:r w:rsidRPr="00DB759A">
              <w:rPr>
                <w:rFonts w:eastAsia="Times New Roman"/>
                <w:b/>
                <w:color w:val="000000"/>
              </w:rPr>
              <w:t>teri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8D524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DB759A">
              <w:rPr>
                <w:rFonts w:eastAsia="Times New Roman"/>
                <w:color w:val="000000"/>
              </w:rPr>
              <w:t>Ketepatan</w:t>
            </w:r>
            <w:r>
              <w:rPr>
                <w:rFonts w:eastAsia="Times New Roman"/>
                <w:color w:val="000000"/>
                <w:lang w:val="en-US"/>
              </w:rPr>
              <w:t xml:space="preserve"> dan </w:t>
            </w:r>
            <w:r w:rsidRPr="00DB759A">
              <w:rPr>
                <w:rFonts w:eastAsia="Times New Roman"/>
                <w:color w:val="000000"/>
              </w:rPr>
              <w:t>kesesuaian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1A5BC8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DB759A">
              <w:rPr>
                <w:rFonts w:eastAsia="Times New Roman"/>
                <w:b/>
                <w:color w:val="000000"/>
              </w:rPr>
              <w:t>Bentuk non-test</w:t>
            </w:r>
            <w:r w:rsidRPr="00DB759A">
              <w:rPr>
                <w:rFonts w:eastAsia="Times New Roman"/>
                <w:color w:val="000000"/>
              </w:rPr>
              <w:t>:</w:t>
            </w:r>
          </w:p>
          <w:p w:rsidR="001D43FD" w:rsidRPr="00C92EB5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Makalah</w:t>
            </w:r>
          </w:p>
          <w:p w:rsidR="001D43FD" w:rsidRPr="00635BB9" w:rsidRDefault="001D43FD" w:rsidP="001D43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26" w:hanging="1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Praktek Perhitungan PBB, BPHTB dan Bea Meterai</w:t>
            </w: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126"/>
              <w:rPr>
                <w:rFonts w:eastAsia="Times New Roman"/>
                <w:color w:val="000000"/>
              </w:rPr>
            </w:pPr>
          </w:p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68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b/>
                <w:color w:val="000000"/>
              </w:rPr>
            </w:pPr>
            <w:r w:rsidRPr="00DB759A">
              <w:rPr>
                <w:rFonts w:eastAsia="Times New Roman"/>
                <w:color w:val="000000"/>
              </w:rPr>
              <w:t xml:space="preserve"> </w:t>
            </w:r>
            <w:r w:rsidRPr="00DB759A">
              <w:rPr>
                <w:rFonts w:eastAsia="Times New Roman"/>
                <w:b/>
                <w:color w:val="000000"/>
              </w:rPr>
              <w:t xml:space="preserve">TM: </w:t>
            </w: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x50”)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DB759A">
              <w:rPr>
                <w:rFonts w:eastAsia="Times New Roman"/>
                <w:b/>
                <w:color w:val="000000"/>
              </w:rPr>
              <w:t>T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  <w:lang w:val="en-US"/>
              </w:rPr>
              <w:t>x</w:t>
            </w:r>
            <w:r w:rsidRPr="00DB759A">
              <w:rPr>
                <w:rFonts w:eastAsia="Times New Roman"/>
                <w:b/>
                <w:color w:val="000000"/>
              </w:rPr>
              <w:t>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</w:rPr>
              <w:t>BM: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  <w:r w:rsidRPr="00DB759A">
              <w:rPr>
                <w:rFonts w:eastAsia="Times New Roman"/>
                <w:b/>
                <w:color w:val="000000"/>
                <w:lang w:val="en-US"/>
              </w:rPr>
              <w:t>1</w:t>
            </w:r>
            <w:r w:rsidRPr="00DB759A">
              <w:rPr>
                <w:rFonts w:eastAsia="Times New Roman"/>
                <w:b/>
                <w:color w:val="000000"/>
              </w:rPr>
              <w:t>x(</w:t>
            </w:r>
            <w:r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DB759A">
              <w:rPr>
                <w:rFonts w:eastAsia="Times New Roman"/>
                <w:b/>
                <w:color w:val="000000"/>
              </w:rPr>
              <w:t>x60”)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lang w:val="en-US" w:eastAsia="id-ID"/>
              </w:rPr>
              <w:t>Bentuk:</w:t>
            </w:r>
          </w:p>
          <w:p w:rsidR="001D43FD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>Kuliah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val="en-US" w:eastAsia="id-ID"/>
              </w:rPr>
              <w:t xml:space="preserve">Praktik 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DB759A">
              <w:rPr>
                <w:rFonts w:eastAsia="Times New Roman"/>
                <w:b/>
                <w:bCs/>
                <w:color w:val="000000"/>
                <w:lang w:val="en-US" w:eastAsia="id-ID"/>
              </w:rPr>
              <w:t>Metode: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  <w:r w:rsidRPr="00DB759A">
              <w:rPr>
                <w:rFonts w:eastAsia="Times New Roman"/>
                <w:bCs/>
                <w:color w:val="000000"/>
                <w:lang w:eastAsia="id-ID"/>
              </w:rPr>
              <w:t>diskusi kelompok</w:t>
            </w:r>
          </w:p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D43FD" w:rsidRPr="00A679E1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  <w:r w:rsidRPr="00B3003E">
              <w:rPr>
                <w:rFonts w:ascii="Candara" w:hAnsi="Candara"/>
                <w:sz w:val="20"/>
                <w:szCs w:val="20"/>
              </w:rPr>
              <w:t>Subyek, obye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k, </w:t>
            </w:r>
            <w:r w:rsidRPr="00B3003E">
              <w:rPr>
                <w:rFonts w:ascii="Candara" w:hAnsi="Candara"/>
                <w:sz w:val="20"/>
                <w:szCs w:val="20"/>
              </w:rPr>
              <w:t>Tarif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, cara perhitungan BPHTB dan</w:t>
            </w:r>
          </w:p>
          <w:p w:rsidR="001D43FD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Kasus P</w:t>
            </w:r>
            <w:r w:rsidRPr="00B3003E">
              <w:rPr>
                <w:rFonts w:ascii="Candara" w:hAnsi="Candara"/>
                <w:sz w:val="20"/>
                <w:szCs w:val="20"/>
              </w:rPr>
              <w:t>erhitungan BPHTB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.</w:t>
            </w:r>
          </w:p>
          <w:p w:rsidR="001D43FD" w:rsidRPr="00A679E1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Subyek, obyek dan tarif Bea Meterai </w:t>
            </w:r>
          </w:p>
          <w:p w:rsidR="001D43FD" w:rsidRPr="00C31C29" w:rsidRDefault="001D43FD" w:rsidP="001D43FD">
            <w:pPr>
              <w:pStyle w:val="BodyTextIndent"/>
              <w:spacing w:after="0" w:line="240" w:lineRule="auto"/>
              <w:ind w:left="0"/>
              <w:rPr>
                <w:rFonts w:ascii="Candara" w:hAnsi="Candara"/>
                <w:sz w:val="20"/>
              </w:rPr>
            </w:pPr>
          </w:p>
          <w:p w:rsidR="001D43FD" w:rsidRPr="00B3003E" w:rsidRDefault="001D43FD" w:rsidP="001D43FD">
            <w:pPr>
              <w:spacing w:after="0" w:line="240" w:lineRule="auto"/>
              <w:ind w:left="336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1D43FD" w:rsidRPr="00B3003E" w:rsidRDefault="001D43FD" w:rsidP="001D43FD">
            <w:pPr>
              <w:ind w:left="336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Pr="00B00259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d-ID"/>
              </w:rPr>
              <w:t>5</w:t>
            </w:r>
          </w:p>
        </w:tc>
      </w:tr>
      <w:tr w:rsidR="001D43FD" w:rsidRPr="00DB759A" w:rsidTr="001D43FD">
        <w:trPr>
          <w:trHeight w:val="440"/>
        </w:trPr>
        <w:tc>
          <w:tcPr>
            <w:tcW w:w="3798" w:type="dxa"/>
            <w:gridSpan w:val="2"/>
            <w:shd w:val="clear" w:color="auto" w:fill="auto"/>
          </w:tcPr>
          <w:p w:rsidR="001D43FD" w:rsidRDefault="001D43FD" w:rsidP="001D43F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UAS</w:t>
            </w:r>
          </w:p>
        </w:tc>
        <w:tc>
          <w:tcPr>
            <w:tcW w:w="2070" w:type="dxa"/>
            <w:shd w:val="solid" w:color="auto" w:fill="auto"/>
          </w:tcPr>
          <w:p w:rsidR="001D43FD" w:rsidRPr="00DB759A" w:rsidRDefault="001D43FD" w:rsidP="001D43FD">
            <w:pPr>
              <w:pStyle w:val="ListParagraph"/>
              <w:autoSpaceDE w:val="0"/>
              <w:autoSpaceDN w:val="0"/>
              <w:spacing w:after="0" w:line="240" w:lineRule="auto"/>
              <w:ind w:left="259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80" w:type="dxa"/>
            <w:shd w:val="solid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20" w:type="dxa"/>
            <w:shd w:val="solid" w:color="auto" w:fill="auto"/>
          </w:tcPr>
          <w:p w:rsidR="001D43FD" w:rsidRPr="00DB759A" w:rsidRDefault="001D43FD" w:rsidP="001D43FD">
            <w:pPr>
              <w:autoSpaceDE w:val="0"/>
              <w:autoSpaceDN w:val="0"/>
              <w:spacing w:after="0" w:line="252" w:lineRule="auto"/>
              <w:ind w:hanging="108"/>
              <w:rPr>
                <w:rFonts w:eastAsia="Times New Roman"/>
                <w:color w:val="000000"/>
              </w:rPr>
            </w:pPr>
          </w:p>
        </w:tc>
        <w:tc>
          <w:tcPr>
            <w:tcW w:w="2520" w:type="dxa"/>
            <w:shd w:val="solid" w:color="auto" w:fill="auto"/>
          </w:tcPr>
          <w:p w:rsidR="001D43FD" w:rsidRPr="00B3003E" w:rsidRDefault="001D43FD" w:rsidP="001D43F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D43FD" w:rsidRDefault="001D43FD" w:rsidP="001D43F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d-ID"/>
              </w:rPr>
              <w:t>40</w:t>
            </w:r>
          </w:p>
        </w:tc>
      </w:tr>
    </w:tbl>
    <w:p w:rsidR="001D43FD" w:rsidRPr="001D43FD" w:rsidRDefault="001D43FD" w:rsidP="001D43FD"/>
    <w:p w:rsidR="00386740" w:rsidRDefault="00386740" w:rsidP="001D43FD">
      <w:pPr>
        <w:rPr>
          <w:lang w:val="en-US"/>
        </w:rPr>
      </w:pPr>
    </w:p>
    <w:p w:rsidR="005943F2" w:rsidRDefault="005943F2" w:rsidP="00386740">
      <w:pPr>
        <w:spacing w:line="240" w:lineRule="auto"/>
        <w:rPr>
          <w:lang w:val="en-US"/>
        </w:rPr>
      </w:pPr>
    </w:p>
    <w:p w:rsidR="00386740" w:rsidRPr="00DB759A" w:rsidRDefault="00386740" w:rsidP="00386740">
      <w:pPr>
        <w:spacing w:line="240" w:lineRule="auto"/>
        <w:rPr>
          <w:color w:val="000000"/>
          <w:sz w:val="18"/>
          <w:szCs w:val="18"/>
        </w:rPr>
      </w:pPr>
      <w:r w:rsidRPr="00DB759A">
        <w:rPr>
          <w:b/>
          <w:color w:val="000000"/>
          <w:sz w:val="18"/>
          <w:szCs w:val="18"/>
          <w:u w:val="single"/>
        </w:rPr>
        <w:t>Catatan</w:t>
      </w:r>
      <w:r w:rsidRPr="00DB759A">
        <w:rPr>
          <w:color w:val="000000"/>
          <w:sz w:val="18"/>
          <w:szCs w:val="18"/>
        </w:rPr>
        <w:t>:</w:t>
      </w:r>
    </w:p>
    <w:p w:rsidR="00386740" w:rsidRPr="00DB759A" w:rsidRDefault="00386740" w:rsidP="00386740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C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 xml:space="preserve">apaian 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P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>embelajaran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Lulusan PRODI (CPL-PRODI) adalah kemampuan yang dimiliki oleh setiap lulusan P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>RODI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yang merupakan internalisasi dari sikap, penguasaan pengetahuan dan ketrampilan sesuai dengan jenjang prodinya yang diperoleh melalui proses pembelajaran.</w:t>
      </w:r>
    </w:p>
    <w:p w:rsidR="00386740" w:rsidRPr="00DB759A" w:rsidRDefault="00386740" w:rsidP="00386740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CP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>L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yang dibebankan pada mata kuliah adalah beberapa capaian pembelajaran lulusan program studi (CPL-PRODI) yang digunakan untuk pembentukan/pengembangan sebuah mata kuliah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 xml:space="preserve"> yang terdiri dari aspek sikap, ketrampulan umum, ketrampilan khusus dan pengetahuan.</w:t>
      </w:r>
    </w:p>
    <w:p w:rsidR="00386740" w:rsidRPr="00DB759A" w:rsidRDefault="00386740" w:rsidP="00386740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CP Mata kuliah (CPMK) adalah kemampuan yang dijabarkan secara spesifik dari CPL yang dibebankan pada mata kuliah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>, dan bersifat spesifik terhadap bahan kajian atau materi pembelajaran mata kuliah tersebut.</w:t>
      </w:r>
    </w:p>
    <w:p w:rsidR="00386740" w:rsidRPr="00DB759A" w:rsidRDefault="00386740" w:rsidP="00386740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Sub-CP Mata kuliah (Sub-CPMK) adalah kemampuan yang dijabarkan secara spesifik dari CPMK yang dapat diukur atau diamati dan merupakan kemampuan akhir yang direncanakan pada tiap tahap pembelajaran, 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>dan bersifat spesifik terhadap materi pembelajaran mata kuliah tersebut.</w:t>
      </w:r>
    </w:p>
    <w:p w:rsidR="00386740" w:rsidRPr="00DB759A" w:rsidRDefault="00386740" w:rsidP="00386740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Kreteria Penilaian adalah patokan yang digunakan sebagai ukuran atau tolok ukur ketercapaian pembelajaran dalam penilaian berdasarkan indikator-indikator yang telah ditetapkan. Kreteria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 xml:space="preserve"> penilaian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merupakan pedoman bagi penilai agar penilaian konsisten dan tidak bias. Kreteria dapat berupa kuantitatif ataupun kualitatif.</w:t>
      </w:r>
    </w:p>
    <w:p w:rsidR="00386740" w:rsidRPr="00DB759A" w:rsidRDefault="00386740" w:rsidP="00386740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Indikator 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 xml:space="preserve">penilaian 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kemampuan 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 xml:space="preserve">dalam proses maupun </w:t>
      </w:r>
      <w:r w:rsidRPr="00DB759A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hasil belajar mahasiswa adalah pernyataan spesifik dan terukur yang mengidentifikasi kemampuan atau kinerja hasil belajar mahasiswa yang disertai bukti-bukti.</w:t>
      </w:r>
    </w:p>
    <w:p w:rsidR="00386740" w:rsidRDefault="00386740" w:rsidP="00386740"/>
    <w:p w:rsidR="001D43FD" w:rsidRDefault="001D43FD" w:rsidP="001D43FD"/>
    <w:p w:rsidR="001D43FD" w:rsidRPr="001D43FD" w:rsidRDefault="001D43FD" w:rsidP="001D43FD">
      <w:pPr>
        <w:tabs>
          <w:tab w:val="left" w:pos="2055"/>
        </w:tabs>
      </w:pPr>
      <w:r>
        <w:tab/>
      </w:r>
    </w:p>
    <w:p w:rsidR="00C1298D" w:rsidRPr="001D43FD" w:rsidRDefault="00C1298D" w:rsidP="001D43FD">
      <w:pPr>
        <w:tabs>
          <w:tab w:val="left" w:pos="2055"/>
        </w:tabs>
      </w:pPr>
    </w:p>
    <w:sectPr w:rsidR="00C1298D" w:rsidRPr="001D43FD" w:rsidSect="009D60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C5" w:rsidRDefault="00AB66C5" w:rsidP="009D60D1">
      <w:pPr>
        <w:spacing w:after="0" w:line="240" w:lineRule="auto"/>
      </w:pPr>
      <w:r>
        <w:separator/>
      </w:r>
    </w:p>
  </w:endnote>
  <w:endnote w:type="continuationSeparator" w:id="1">
    <w:p w:rsidR="00AB66C5" w:rsidRDefault="00AB66C5" w:rsidP="009D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C5" w:rsidRDefault="00AB66C5" w:rsidP="009D60D1">
      <w:pPr>
        <w:spacing w:after="0" w:line="240" w:lineRule="auto"/>
      </w:pPr>
      <w:r>
        <w:separator/>
      </w:r>
    </w:p>
  </w:footnote>
  <w:footnote w:type="continuationSeparator" w:id="1">
    <w:p w:rsidR="00AB66C5" w:rsidRDefault="00AB66C5" w:rsidP="009D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819"/>
    <w:multiLevelType w:val="hybridMultilevel"/>
    <w:tmpl w:val="22BC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2B8E"/>
    <w:multiLevelType w:val="hybridMultilevel"/>
    <w:tmpl w:val="24B4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D7A4C"/>
    <w:multiLevelType w:val="hybridMultilevel"/>
    <w:tmpl w:val="340A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B9A"/>
    <w:multiLevelType w:val="hybridMultilevel"/>
    <w:tmpl w:val="70F2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1017"/>
    <w:multiLevelType w:val="hybridMultilevel"/>
    <w:tmpl w:val="D0365C16"/>
    <w:lvl w:ilvl="0" w:tplc="9E06D90E">
      <w:start w:val="1"/>
      <w:numFmt w:val="decimal"/>
      <w:lvlText w:val="PP 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2611E"/>
    <w:multiLevelType w:val="hybridMultilevel"/>
    <w:tmpl w:val="FD54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904"/>
    <w:multiLevelType w:val="hybridMultilevel"/>
    <w:tmpl w:val="C88A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B33FB"/>
    <w:multiLevelType w:val="multilevel"/>
    <w:tmpl w:val="9C98FF5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9">
    <w:nsid w:val="69E30438"/>
    <w:multiLevelType w:val="hybridMultilevel"/>
    <w:tmpl w:val="A4A0FBD8"/>
    <w:lvl w:ilvl="0" w:tplc="B560A94E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>
    <w:nsid w:val="763E7CCD"/>
    <w:multiLevelType w:val="hybridMultilevel"/>
    <w:tmpl w:val="504A7E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F7CAA"/>
    <w:multiLevelType w:val="hybridMultilevel"/>
    <w:tmpl w:val="C4A4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0D1"/>
    <w:rsid w:val="00184B94"/>
    <w:rsid w:val="001D43FD"/>
    <w:rsid w:val="00217323"/>
    <w:rsid w:val="002232B2"/>
    <w:rsid w:val="0035293F"/>
    <w:rsid w:val="00386740"/>
    <w:rsid w:val="003C4E9C"/>
    <w:rsid w:val="004C15BF"/>
    <w:rsid w:val="005943F2"/>
    <w:rsid w:val="00750EBD"/>
    <w:rsid w:val="00975CE3"/>
    <w:rsid w:val="009B7CE1"/>
    <w:rsid w:val="009D60D1"/>
    <w:rsid w:val="00AB66C5"/>
    <w:rsid w:val="00B04157"/>
    <w:rsid w:val="00BD2E5A"/>
    <w:rsid w:val="00C03947"/>
    <w:rsid w:val="00C1298D"/>
    <w:rsid w:val="00CE0070"/>
    <w:rsid w:val="00CE2F35"/>
    <w:rsid w:val="00D42243"/>
    <w:rsid w:val="00F90923"/>
    <w:rsid w:val="00F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D1"/>
    <w:pPr>
      <w:spacing w:after="160" w:line="259" w:lineRule="auto"/>
    </w:pPr>
    <w:rPr>
      <w:rFonts w:ascii="Calibri" w:eastAsia="Calibri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60D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9D60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60D1"/>
    <w:rPr>
      <w:rFonts w:ascii="Calibri" w:eastAsia="Calibri" w:hAnsi="Calibri" w:cs="Times New Roman"/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9D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0D1"/>
    <w:rPr>
      <w:rFonts w:ascii="Calibri" w:eastAsia="Calibri" w:hAnsi="Calibri" w:cs="Times New Roman"/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9D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D1"/>
    <w:rPr>
      <w:rFonts w:ascii="Calibri" w:eastAsia="Calibri" w:hAnsi="Calibri" w:cs="Times New Roman"/>
      <w:noProof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43FD"/>
  </w:style>
  <w:style w:type="paragraph" w:customStyle="1" w:styleId="ListParagraph1">
    <w:name w:val="List Paragraph1"/>
    <w:basedOn w:val="Normal"/>
    <w:uiPriority w:val="34"/>
    <w:qFormat/>
    <w:rsid w:val="001D43FD"/>
    <w:pPr>
      <w:spacing w:after="200" w:line="276" w:lineRule="auto"/>
      <w:ind w:left="720"/>
      <w:contextualSpacing/>
    </w:pPr>
    <w:rPr>
      <w:rFonts w:eastAsia="SimSun"/>
      <w:noProof w:val="0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rsid w:val="001D43FD"/>
    <w:rPr>
      <w:rFonts w:ascii="Calibri" w:eastAsia="Calibri" w:hAnsi="Calibri" w:cs="Times New Roman"/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F729-65E1-42F5-8DD9-9449F843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2019-05-23T02:55:00Z</dcterms:created>
  <dcterms:modified xsi:type="dcterms:W3CDTF">2019-05-24T01:42:00Z</dcterms:modified>
</cp:coreProperties>
</file>